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CF" w:rsidRDefault="009F45CF" w:rsidP="009F45CF">
      <w:pPr>
        <w:rPr>
          <w:b/>
        </w:rPr>
      </w:pPr>
      <w:r>
        <w:rPr>
          <w:b/>
        </w:rPr>
        <w:t>Tisztelt Intézményvezető Asszony/Úr!</w:t>
      </w:r>
    </w:p>
    <w:p w:rsidR="009F45CF" w:rsidRDefault="009F45CF" w:rsidP="00781F6B">
      <w:pPr>
        <w:jc w:val="both"/>
        <w:rPr>
          <w:rFonts w:asciiTheme="minorHAnsi" w:hAnsiTheme="minorHAnsi"/>
          <w:sz w:val="24"/>
          <w:szCs w:val="24"/>
        </w:rPr>
      </w:pPr>
    </w:p>
    <w:p w:rsidR="009F45CF" w:rsidRDefault="009F45CF" w:rsidP="00781F6B">
      <w:pPr>
        <w:jc w:val="both"/>
        <w:rPr>
          <w:rFonts w:asciiTheme="minorHAnsi" w:hAnsiTheme="minorHAnsi"/>
          <w:sz w:val="24"/>
          <w:szCs w:val="24"/>
        </w:rPr>
      </w:pPr>
    </w:p>
    <w:p w:rsidR="00627254" w:rsidRPr="003C77BF" w:rsidRDefault="00627254" w:rsidP="00781F6B">
      <w:pPr>
        <w:jc w:val="both"/>
        <w:rPr>
          <w:rFonts w:asciiTheme="minorHAnsi" w:hAnsiTheme="minorHAnsi"/>
          <w:sz w:val="24"/>
          <w:szCs w:val="24"/>
        </w:rPr>
      </w:pPr>
      <w:r w:rsidRPr="003C77BF">
        <w:rPr>
          <w:rFonts w:asciiTheme="minorHAnsi" w:hAnsiTheme="minorHAnsi"/>
          <w:sz w:val="24"/>
          <w:szCs w:val="24"/>
        </w:rPr>
        <w:t>Tájékoztatom, hogy a hematológiai megbetegedések kezelésére szolgáló tételes elszámolás alá eső készítmények vonatkozásában a Nemzeti Egészségbiztosítási Alapkezelő (továbbiakban: NEAK) eredményes közbeszerzési eljárást folytatott le, amelynek eredményeképpen az</w:t>
      </w:r>
      <w:r w:rsidR="00546992" w:rsidRPr="003C77BF">
        <w:rPr>
          <w:rFonts w:asciiTheme="minorHAnsi" w:hAnsiTheme="minorHAnsi"/>
          <w:sz w:val="24"/>
          <w:szCs w:val="24"/>
        </w:rPr>
        <w:t xml:space="preserve"> így </w:t>
      </w:r>
      <w:proofErr w:type="gramStart"/>
      <w:r w:rsidR="00546992" w:rsidRPr="003C77BF">
        <w:rPr>
          <w:rFonts w:asciiTheme="minorHAnsi" w:hAnsiTheme="minorHAnsi"/>
          <w:sz w:val="24"/>
          <w:szCs w:val="24"/>
        </w:rPr>
        <w:t xml:space="preserve">beszerzett </w:t>
      </w:r>
      <w:r w:rsidRPr="003C77BF">
        <w:rPr>
          <w:rFonts w:asciiTheme="minorHAnsi" w:hAnsiTheme="minorHAnsi"/>
          <w:sz w:val="24"/>
          <w:szCs w:val="24"/>
        </w:rPr>
        <w:t xml:space="preserve"> hatóanyagokat</w:t>
      </w:r>
      <w:proofErr w:type="gramEnd"/>
      <w:r w:rsidRPr="003C77BF">
        <w:rPr>
          <w:rFonts w:asciiTheme="minorHAnsi" w:hAnsiTheme="minorHAnsi"/>
          <w:sz w:val="24"/>
          <w:szCs w:val="24"/>
        </w:rPr>
        <w:t xml:space="preserve"> – az aláírt </w:t>
      </w:r>
      <w:proofErr w:type="spellStart"/>
      <w:r w:rsidRPr="003C77BF">
        <w:rPr>
          <w:rFonts w:asciiTheme="minorHAnsi" w:hAnsiTheme="minorHAnsi"/>
          <w:sz w:val="24"/>
          <w:szCs w:val="24"/>
        </w:rPr>
        <w:t>keretmegállapodások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alapján – természetben biztosítja az ellátásra jogosult egészségügyi szolgáltatók részére. </w:t>
      </w:r>
    </w:p>
    <w:p w:rsidR="00627254" w:rsidRPr="003C77BF" w:rsidRDefault="00627254">
      <w:pPr>
        <w:jc w:val="both"/>
        <w:rPr>
          <w:rFonts w:asciiTheme="minorHAnsi" w:hAnsiTheme="minorHAnsi"/>
          <w:sz w:val="24"/>
          <w:szCs w:val="24"/>
        </w:rPr>
      </w:pPr>
    </w:p>
    <w:p w:rsidR="007D61F7" w:rsidRPr="003C77BF" w:rsidRDefault="00627254">
      <w:pPr>
        <w:jc w:val="both"/>
        <w:rPr>
          <w:rFonts w:asciiTheme="minorHAnsi" w:hAnsiTheme="minorHAnsi"/>
          <w:sz w:val="24"/>
          <w:szCs w:val="24"/>
        </w:rPr>
      </w:pPr>
      <w:r w:rsidRPr="003C77BF">
        <w:rPr>
          <w:rFonts w:asciiTheme="minorHAnsi" w:hAnsiTheme="minorHAnsi"/>
          <w:sz w:val="24"/>
          <w:szCs w:val="24"/>
        </w:rPr>
        <w:t>Ezen készítmények alkalmazhatóságával kapcsolatban az alábbi szempontok az irányadóak újonnan diagnosztizált és már terápián lévő betegek esetében</w:t>
      </w:r>
      <w:r w:rsidR="00781F6B" w:rsidRPr="003C77BF">
        <w:rPr>
          <w:rFonts w:asciiTheme="minorHAnsi" w:hAnsiTheme="minorHAnsi"/>
          <w:sz w:val="24"/>
          <w:szCs w:val="24"/>
        </w:rPr>
        <w:t xml:space="preserve">. </w:t>
      </w:r>
    </w:p>
    <w:p w:rsidR="007D61F7" w:rsidRPr="003C77BF" w:rsidRDefault="007D61F7">
      <w:pPr>
        <w:jc w:val="both"/>
        <w:rPr>
          <w:rFonts w:asciiTheme="minorHAnsi" w:hAnsiTheme="minorHAnsi"/>
          <w:sz w:val="24"/>
          <w:szCs w:val="24"/>
        </w:rPr>
      </w:pPr>
    </w:p>
    <w:p w:rsidR="00237B24" w:rsidRDefault="00237B24" w:rsidP="00237B24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 w:rsidRPr="0042311E">
        <w:rPr>
          <w:rFonts w:asciiTheme="minorHAnsi" w:hAnsiTheme="minorHAnsi"/>
          <w:b/>
          <w:sz w:val="24"/>
          <w:szCs w:val="24"/>
          <w:u w:val="single"/>
        </w:rPr>
        <w:t>Rituximab</w:t>
      </w:r>
      <w:proofErr w:type="spellEnd"/>
    </w:p>
    <w:p w:rsidR="00237B24" w:rsidRPr="0042311E" w:rsidRDefault="00237B24" w:rsidP="00237B24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37B24" w:rsidRDefault="00237B24" w:rsidP="00237B24">
      <w:pPr>
        <w:jc w:val="both"/>
        <w:rPr>
          <w:rFonts w:asciiTheme="minorHAnsi" w:hAnsiTheme="minorHAnsi"/>
          <w:sz w:val="24"/>
          <w:szCs w:val="24"/>
        </w:rPr>
      </w:pPr>
      <w:r w:rsidRPr="003C77BF">
        <w:rPr>
          <w:rFonts w:asciiTheme="minorHAnsi" w:hAnsiTheme="minorHAnsi"/>
          <w:sz w:val="24"/>
          <w:szCs w:val="24"/>
        </w:rPr>
        <w:t xml:space="preserve">A hematológia területén alkalmazott </w:t>
      </w:r>
      <w:proofErr w:type="spellStart"/>
      <w:r w:rsidRPr="003C77BF">
        <w:rPr>
          <w:rFonts w:asciiTheme="minorHAnsi" w:hAnsiTheme="minorHAnsi"/>
          <w:sz w:val="24"/>
          <w:szCs w:val="24"/>
        </w:rPr>
        <w:t>rituximab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hatóanyagok felhasználására az NM rendelet 1/</w:t>
      </w:r>
      <w:proofErr w:type="gramStart"/>
      <w:r w:rsidRPr="003C77BF">
        <w:rPr>
          <w:rFonts w:asciiTheme="minorHAnsi" w:hAnsiTheme="minorHAnsi"/>
          <w:sz w:val="24"/>
          <w:szCs w:val="24"/>
        </w:rPr>
        <w:t>A</w:t>
      </w:r>
      <w:proofErr w:type="gramEnd"/>
      <w:r w:rsidRPr="003C77BF">
        <w:rPr>
          <w:rFonts w:asciiTheme="minorHAnsi" w:hAnsiTheme="minorHAnsi"/>
          <w:sz w:val="24"/>
          <w:szCs w:val="24"/>
        </w:rPr>
        <w:t xml:space="preserve"> sz. mellékletében felsorolt alábbi pontok szerint van lehetőség</w:t>
      </w:r>
      <w:r>
        <w:rPr>
          <w:rFonts w:asciiTheme="minorHAnsi" w:hAnsiTheme="minorHAnsi"/>
          <w:sz w:val="24"/>
          <w:szCs w:val="24"/>
        </w:rPr>
        <w:t xml:space="preserve"> korlátozás nélkül</w:t>
      </w:r>
      <w:r w:rsidRPr="003C77BF">
        <w:rPr>
          <w:rFonts w:asciiTheme="minorHAnsi" w:hAnsiTheme="minorHAnsi"/>
          <w:sz w:val="24"/>
          <w:szCs w:val="24"/>
        </w:rPr>
        <w:t xml:space="preserve">. </w:t>
      </w:r>
    </w:p>
    <w:p w:rsidR="00237B24" w:rsidRDefault="00237B24" w:rsidP="00237B24">
      <w:pPr>
        <w:jc w:val="both"/>
        <w:rPr>
          <w:rFonts w:asciiTheme="minorHAnsi" w:hAnsiTheme="minorHAnsi"/>
          <w:sz w:val="24"/>
          <w:szCs w:val="24"/>
        </w:rPr>
      </w:pPr>
    </w:p>
    <w:p w:rsidR="00237B24" w:rsidRPr="003C77BF" w:rsidRDefault="00237B24" w:rsidP="00237B24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3C77BF">
        <w:rPr>
          <w:rFonts w:asciiTheme="minorHAnsi" w:hAnsiTheme="minorHAnsi"/>
          <w:sz w:val="24"/>
          <w:szCs w:val="24"/>
        </w:rPr>
        <w:t>Rituximab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esetében </w:t>
      </w:r>
      <w:r w:rsidRPr="0042311E">
        <w:rPr>
          <w:rFonts w:asciiTheme="minorHAnsi" w:hAnsiTheme="minorHAnsi"/>
          <w:b/>
          <w:sz w:val="24"/>
          <w:szCs w:val="24"/>
          <w:u w:val="single"/>
        </w:rPr>
        <w:t xml:space="preserve">jelenleg a </w:t>
      </w:r>
      <w:proofErr w:type="spellStart"/>
      <w:r w:rsidRPr="0042311E">
        <w:rPr>
          <w:rFonts w:asciiTheme="minorHAnsi" w:hAnsiTheme="minorHAnsi"/>
          <w:b/>
          <w:sz w:val="24"/>
          <w:szCs w:val="24"/>
          <w:u w:val="single"/>
        </w:rPr>
        <w:t>Truxima</w:t>
      </w:r>
      <w:proofErr w:type="spellEnd"/>
      <w:r w:rsidRPr="0042311E">
        <w:rPr>
          <w:rFonts w:asciiTheme="minorHAnsi" w:hAnsiTheme="minorHAnsi"/>
          <w:b/>
          <w:sz w:val="24"/>
          <w:szCs w:val="24"/>
        </w:rPr>
        <w:t xml:space="preserve"> készítmény biztosított</w:t>
      </w:r>
      <w:r w:rsidRPr="003C77BF">
        <w:rPr>
          <w:rFonts w:asciiTheme="minorHAnsi" w:hAnsiTheme="minorHAnsi"/>
          <w:sz w:val="24"/>
          <w:szCs w:val="24"/>
        </w:rPr>
        <w:t xml:space="preserve">, azonban várhatóan </w:t>
      </w:r>
      <w:r w:rsidRPr="003C77BF">
        <w:rPr>
          <w:rFonts w:asciiTheme="minorHAnsi" w:hAnsiTheme="minorHAnsi"/>
          <w:sz w:val="24"/>
          <w:szCs w:val="24"/>
          <w:u w:val="single"/>
        </w:rPr>
        <w:t xml:space="preserve">áprilistól </w:t>
      </w:r>
      <w:r w:rsidRPr="0042311E">
        <w:rPr>
          <w:rFonts w:asciiTheme="minorHAnsi" w:hAnsiTheme="minorHAnsi"/>
          <w:b/>
          <w:sz w:val="24"/>
          <w:szCs w:val="24"/>
          <w:u w:val="single"/>
        </w:rPr>
        <w:t xml:space="preserve">ezt felváltja a </w:t>
      </w:r>
      <w:proofErr w:type="spellStart"/>
      <w:r w:rsidRPr="0042311E">
        <w:rPr>
          <w:rFonts w:asciiTheme="minorHAnsi" w:hAnsiTheme="minorHAnsi"/>
          <w:b/>
          <w:sz w:val="24"/>
          <w:szCs w:val="24"/>
          <w:u w:val="single"/>
        </w:rPr>
        <w:t>Rixathon</w:t>
      </w:r>
      <w:proofErr w:type="spellEnd"/>
      <w:r w:rsidRPr="0042311E">
        <w:rPr>
          <w:rFonts w:asciiTheme="minorHAnsi" w:hAnsiTheme="minorHAnsi"/>
          <w:b/>
          <w:sz w:val="24"/>
          <w:szCs w:val="24"/>
        </w:rPr>
        <w:t xml:space="preserve"> készítmény</w:t>
      </w:r>
      <w:r w:rsidRPr="003C77BF">
        <w:rPr>
          <w:rFonts w:asciiTheme="minorHAnsi" w:hAnsiTheme="minorHAnsi"/>
          <w:sz w:val="24"/>
          <w:szCs w:val="24"/>
        </w:rPr>
        <w:t xml:space="preserve">, melyet az Atlas Pharma fog majd szállítani, melyről szintén küldünk tájékoztatást a későbbiekben. </w:t>
      </w:r>
    </w:p>
    <w:p w:rsidR="00237B24" w:rsidRPr="003C77BF" w:rsidRDefault="00237B24" w:rsidP="00237B24">
      <w:pPr>
        <w:jc w:val="both"/>
        <w:rPr>
          <w:rFonts w:asciiTheme="minorHAnsi" w:hAnsiTheme="minorHAnsi"/>
          <w:sz w:val="24"/>
          <w:szCs w:val="24"/>
        </w:rPr>
      </w:pPr>
    </w:p>
    <w:p w:rsidR="00237B24" w:rsidRPr="003C77BF" w:rsidRDefault="00237B24" w:rsidP="00237B24">
      <w:pPr>
        <w:pStyle w:val="Listaszerbekezds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C77BF">
        <w:rPr>
          <w:rFonts w:asciiTheme="minorHAnsi" w:hAnsiTheme="minorHAnsi"/>
          <w:sz w:val="24"/>
          <w:szCs w:val="24"/>
        </w:rPr>
        <w:t>NM rendelet 1/</w:t>
      </w:r>
      <w:proofErr w:type="gramStart"/>
      <w:r w:rsidRPr="003C77BF">
        <w:rPr>
          <w:rFonts w:asciiTheme="minorHAnsi" w:hAnsiTheme="minorHAnsi"/>
          <w:sz w:val="24"/>
          <w:szCs w:val="24"/>
        </w:rPr>
        <w:t>A</w:t>
      </w:r>
      <w:proofErr w:type="gramEnd"/>
      <w:r w:rsidRPr="003C77BF">
        <w:rPr>
          <w:rFonts w:asciiTheme="minorHAnsi" w:hAnsiTheme="minorHAnsi"/>
          <w:sz w:val="24"/>
          <w:szCs w:val="24"/>
        </w:rPr>
        <w:t xml:space="preserve"> sz. melléklet 7/b1.</w:t>
      </w:r>
    </w:p>
    <w:p w:rsidR="00237B24" w:rsidRDefault="00237B24" w:rsidP="00237B24">
      <w:pPr>
        <w:pStyle w:val="Listaszerbekezds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3C77BF">
        <w:rPr>
          <w:rFonts w:asciiTheme="minorHAnsi" w:hAnsiTheme="minorHAnsi"/>
          <w:sz w:val="24"/>
          <w:szCs w:val="24"/>
        </w:rPr>
        <w:t>B-sejtes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krónikus </w:t>
      </w:r>
      <w:proofErr w:type="spellStart"/>
      <w:r w:rsidRPr="003C77BF">
        <w:rPr>
          <w:rFonts w:asciiTheme="minorHAnsi" w:hAnsiTheme="minorHAnsi"/>
          <w:sz w:val="24"/>
          <w:szCs w:val="24"/>
        </w:rPr>
        <w:t>lymphoid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77BF">
        <w:rPr>
          <w:rFonts w:asciiTheme="minorHAnsi" w:hAnsiTheme="minorHAnsi"/>
          <w:sz w:val="24"/>
          <w:szCs w:val="24"/>
        </w:rPr>
        <w:t>leukemia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korai (RAI 0-II) stádiumában, amennyiben az aktivitási jelek közül legalább egy jelen van: </w:t>
      </w:r>
      <w:proofErr w:type="spellStart"/>
      <w:r w:rsidRPr="003C77BF">
        <w:rPr>
          <w:rFonts w:asciiTheme="minorHAnsi" w:hAnsiTheme="minorHAnsi"/>
          <w:sz w:val="24"/>
          <w:szCs w:val="24"/>
        </w:rPr>
        <w:t>B-tünet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, 6 hónapon belül megkettőződő </w:t>
      </w:r>
      <w:proofErr w:type="spellStart"/>
      <w:r w:rsidRPr="003C77BF">
        <w:rPr>
          <w:rFonts w:asciiTheme="minorHAnsi" w:hAnsiTheme="minorHAnsi"/>
          <w:sz w:val="24"/>
          <w:szCs w:val="24"/>
        </w:rPr>
        <w:t>lymphocytaszám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, progresszív </w:t>
      </w:r>
      <w:proofErr w:type="spellStart"/>
      <w:r w:rsidRPr="003C77BF">
        <w:rPr>
          <w:rFonts w:asciiTheme="minorHAnsi" w:hAnsiTheme="minorHAnsi"/>
          <w:sz w:val="24"/>
          <w:szCs w:val="24"/>
        </w:rPr>
        <w:t>splenomegalia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(a bal bordaívet 6 cm-rel meghaladó lép/progresszív </w:t>
      </w:r>
      <w:proofErr w:type="spellStart"/>
      <w:r w:rsidRPr="003C77BF">
        <w:rPr>
          <w:rFonts w:asciiTheme="minorHAnsi" w:hAnsiTheme="minorHAnsi"/>
          <w:sz w:val="24"/>
          <w:szCs w:val="24"/>
        </w:rPr>
        <w:t>lymphadenomegalia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/legnagyobb nyirokcsomó átmérője &gt; 10 cm), </w:t>
      </w:r>
      <w:proofErr w:type="spellStart"/>
      <w:r w:rsidRPr="003C77BF">
        <w:rPr>
          <w:rFonts w:asciiTheme="minorHAnsi" w:hAnsiTheme="minorHAnsi"/>
          <w:sz w:val="24"/>
          <w:szCs w:val="24"/>
        </w:rPr>
        <w:t>csontvelőelégtelenség</w:t>
      </w:r>
      <w:proofErr w:type="spellEnd"/>
      <w:r w:rsidRPr="003C77BF">
        <w:rPr>
          <w:rFonts w:asciiTheme="minorHAnsi" w:hAnsiTheme="minorHAnsi"/>
          <w:sz w:val="24"/>
          <w:szCs w:val="24"/>
        </w:rPr>
        <w:t>, valamint előrehaladott stádiumú (RAI III-IV) betegek részére, akik az ECOG skálán 0-2 értékkel rendelkeznek, R-kombinációs kemoterápia részeként, összesen 6 cikluson keresztül.</w:t>
      </w:r>
      <w:proofErr w:type="gramEnd"/>
    </w:p>
    <w:p w:rsidR="00237B24" w:rsidRPr="003C77BF" w:rsidRDefault="00237B24" w:rsidP="0042311E">
      <w:pPr>
        <w:pStyle w:val="Listaszerbekezds"/>
        <w:jc w:val="both"/>
        <w:rPr>
          <w:rFonts w:asciiTheme="minorHAnsi" w:hAnsiTheme="minorHAnsi"/>
          <w:sz w:val="24"/>
          <w:szCs w:val="24"/>
        </w:rPr>
      </w:pPr>
    </w:p>
    <w:p w:rsidR="00237B24" w:rsidRPr="0042311E" w:rsidRDefault="00237B24" w:rsidP="00237B24">
      <w:pPr>
        <w:pStyle w:val="Listaszerbekezds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2311E">
        <w:rPr>
          <w:rFonts w:asciiTheme="minorHAnsi" w:hAnsiTheme="minorHAnsi"/>
          <w:sz w:val="24"/>
          <w:szCs w:val="24"/>
        </w:rPr>
        <w:t>NM rendelet 1/</w:t>
      </w:r>
      <w:proofErr w:type="gramStart"/>
      <w:r w:rsidRPr="0042311E">
        <w:rPr>
          <w:rFonts w:asciiTheme="minorHAnsi" w:hAnsiTheme="minorHAnsi"/>
          <w:sz w:val="24"/>
          <w:szCs w:val="24"/>
        </w:rPr>
        <w:t>A</w:t>
      </w:r>
      <w:proofErr w:type="gramEnd"/>
      <w:r w:rsidRPr="0042311E">
        <w:rPr>
          <w:rFonts w:asciiTheme="minorHAnsi" w:hAnsiTheme="minorHAnsi"/>
          <w:sz w:val="24"/>
          <w:szCs w:val="24"/>
        </w:rPr>
        <w:t xml:space="preserve"> sz. melléklet 7/b2.</w:t>
      </w:r>
    </w:p>
    <w:p w:rsidR="00237B24" w:rsidRPr="0042311E" w:rsidRDefault="00237B24" w:rsidP="00237B24">
      <w:pPr>
        <w:pStyle w:val="Listaszerbekezds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2311E">
        <w:rPr>
          <w:rFonts w:asciiTheme="minorHAnsi" w:hAnsiTheme="minorHAnsi"/>
          <w:sz w:val="24"/>
          <w:szCs w:val="24"/>
        </w:rPr>
        <w:t xml:space="preserve">III-IV. stádiumú </w:t>
      </w:r>
      <w:proofErr w:type="spellStart"/>
      <w:r w:rsidRPr="0042311E">
        <w:rPr>
          <w:rFonts w:asciiTheme="minorHAnsi" w:hAnsiTheme="minorHAnsi"/>
          <w:sz w:val="24"/>
          <w:szCs w:val="24"/>
        </w:rPr>
        <w:t>folliculáris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2311E">
        <w:rPr>
          <w:rFonts w:asciiTheme="minorHAnsi" w:hAnsiTheme="minorHAnsi"/>
          <w:sz w:val="24"/>
          <w:szCs w:val="24"/>
        </w:rPr>
        <w:t>lymphoma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indukciós és fenntartó kezelése, első vonalban és </w:t>
      </w:r>
      <w:proofErr w:type="spellStart"/>
      <w:r w:rsidRPr="0042311E">
        <w:rPr>
          <w:rFonts w:asciiTheme="minorHAnsi" w:hAnsiTheme="minorHAnsi"/>
          <w:sz w:val="24"/>
          <w:szCs w:val="24"/>
        </w:rPr>
        <w:t>relapszus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esetén, valamint CD20 pozitív, diffúz, nagy </w:t>
      </w:r>
      <w:proofErr w:type="spellStart"/>
      <w:r w:rsidRPr="0042311E">
        <w:rPr>
          <w:rFonts w:asciiTheme="minorHAnsi" w:hAnsiTheme="minorHAnsi"/>
          <w:sz w:val="24"/>
          <w:szCs w:val="24"/>
        </w:rPr>
        <w:t>B-sejtes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2311E">
        <w:rPr>
          <w:rFonts w:asciiTheme="minorHAnsi" w:hAnsiTheme="minorHAnsi"/>
          <w:sz w:val="24"/>
          <w:szCs w:val="24"/>
        </w:rPr>
        <w:t>non-Hodgkin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2311E">
        <w:rPr>
          <w:rFonts w:asciiTheme="minorHAnsi" w:hAnsiTheme="minorHAnsi"/>
          <w:sz w:val="24"/>
          <w:szCs w:val="24"/>
        </w:rPr>
        <w:t>lymphoma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kezelése.</w:t>
      </w:r>
    </w:p>
    <w:p w:rsidR="00237B24" w:rsidRPr="003C77BF" w:rsidRDefault="00237B24" w:rsidP="00237B24">
      <w:pPr>
        <w:jc w:val="both"/>
        <w:rPr>
          <w:rFonts w:asciiTheme="minorHAnsi" w:hAnsiTheme="minorHAnsi"/>
          <w:sz w:val="24"/>
          <w:szCs w:val="24"/>
        </w:rPr>
      </w:pPr>
    </w:p>
    <w:p w:rsidR="00237B24" w:rsidRPr="003C77BF" w:rsidRDefault="00237B24" w:rsidP="00237B24">
      <w:pPr>
        <w:pStyle w:val="Listaszerbekezds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C77BF">
        <w:rPr>
          <w:rFonts w:asciiTheme="minorHAnsi" w:hAnsiTheme="minorHAnsi"/>
          <w:sz w:val="24"/>
          <w:szCs w:val="24"/>
        </w:rPr>
        <w:t>NM rendelet 1/</w:t>
      </w:r>
      <w:proofErr w:type="gramStart"/>
      <w:r w:rsidRPr="003C77BF">
        <w:rPr>
          <w:rFonts w:asciiTheme="minorHAnsi" w:hAnsiTheme="minorHAnsi"/>
          <w:sz w:val="24"/>
          <w:szCs w:val="24"/>
        </w:rPr>
        <w:t>A</w:t>
      </w:r>
      <w:proofErr w:type="gramEnd"/>
      <w:r w:rsidRPr="003C77BF">
        <w:rPr>
          <w:rFonts w:asciiTheme="minorHAnsi" w:hAnsiTheme="minorHAnsi"/>
          <w:sz w:val="24"/>
          <w:szCs w:val="24"/>
        </w:rPr>
        <w:t xml:space="preserve"> sz. melléklet 7/b3.</w:t>
      </w:r>
    </w:p>
    <w:p w:rsidR="00237B24" w:rsidRDefault="00237B24" w:rsidP="00237B24">
      <w:pPr>
        <w:pStyle w:val="Listaszerbekezds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C77BF">
        <w:rPr>
          <w:rFonts w:asciiTheme="minorHAnsi" w:hAnsiTheme="minorHAnsi"/>
          <w:sz w:val="24"/>
          <w:szCs w:val="24"/>
        </w:rPr>
        <w:t xml:space="preserve">Kemoterápiával kombinálva javasolt </w:t>
      </w:r>
      <w:proofErr w:type="spellStart"/>
      <w:r w:rsidRPr="003C77BF">
        <w:rPr>
          <w:rFonts w:asciiTheme="minorHAnsi" w:hAnsiTheme="minorHAnsi"/>
          <w:sz w:val="24"/>
          <w:szCs w:val="24"/>
        </w:rPr>
        <w:t>relapszusos</w:t>
      </w:r>
      <w:proofErr w:type="spellEnd"/>
      <w:r w:rsidRPr="003C77BF">
        <w:rPr>
          <w:rFonts w:asciiTheme="minorHAnsi" w:hAnsiTheme="minorHAnsi"/>
          <w:sz w:val="24"/>
          <w:szCs w:val="24"/>
        </w:rPr>
        <w:t>/</w:t>
      </w:r>
      <w:proofErr w:type="spellStart"/>
      <w:r w:rsidRPr="003C77BF">
        <w:rPr>
          <w:rFonts w:asciiTheme="minorHAnsi" w:hAnsiTheme="minorHAnsi"/>
          <w:sz w:val="24"/>
          <w:szCs w:val="24"/>
        </w:rPr>
        <w:t>refrakter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krónikus </w:t>
      </w:r>
      <w:proofErr w:type="spellStart"/>
      <w:r w:rsidRPr="003C77BF">
        <w:rPr>
          <w:rFonts w:asciiTheme="minorHAnsi" w:hAnsiTheme="minorHAnsi"/>
          <w:sz w:val="24"/>
          <w:szCs w:val="24"/>
        </w:rPr>
        <w:t>lymphocytás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77BF">
        <w:rPr>
          <w:rFonts w:asciiTheme="minorHAnsi" w:hAnsiTheme="minorHAnsi"/>
          <w:sz w:val="24"/>
          <w:szCs w:val="24"/>
        </w:rPr>
        <w:t>leukemiában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szenvedő betegek kezelésére, összesen 6 cikluson keresztül.</w:t>
      </w:r>
    </w:p>
    <w:p w:rsidR="00237B24" w:rsidRPr="003C77BF" w:rsidRDefault="00237B24" w:rsidP="0042311E">
      <w:pPr>
        <w:pStyle w:val="Listaszerbekezds"/>
        <w:jc w:val="both"/>
        <w:rPr>
          <w:rFonts w:asciiTheme="minorHAnsi" w:hAnsiTheme="minorHAnsi"/>
          <w:sz w:val="24"/>
          <w:szCs w:val="24"/>
        </w:rPr>
      </w:pPr>
    </w:p>
    <w:p w:rsidR="007D61F7" w:rsidRDefault="007D61F7">
      <w:pPr>
        <w:jc w:val="both"/>
        <w:rPr>
          <w:rFonts w:asciiTheme="minorHAnsi" w:hAnsiTheme="minorHAnsi"/>
          <w:sz w:val="24"/>
          <w:szCs w:val="24"/>
        </w:rPr>
      </w:pPr>
    </w:p>
    <w:p w:rsidR="00237B24" w:rsidRPr="003C77BF" w:rsidRDefault="00237B24">
      <w:pPr>
        <w:jc w:val="both"/>
        <w:rPr>
          <w:rFonts w:asciiTheme="minorHAnsi" w:hAnsiTheme="minorHAnsi"/>
          <w:sz w:val="24"/>
          <w:szCs w:val="24"/>
        </w:rPr>
      </w:pPr>
    </w:p>
    <w:p w:rsidR="00C91544" w:rsidRPr="003C77BF" w:rsidRDefault="00C91544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 w:rsidRPr="003C77BF">
        <w:rPr>
          <w:rFonts w:asciiTheme="minorHAnsi" w:hAnsiTheme="minorHAnsi"/>
          <w:b/>
          <w:sz w:val="24"/>
          <w:szCs w:val="24"/>
          <w:u w:val="single"/>
        </w:rPr>
        <w:t>Myeloma</w:t>
      </w:r>
      <w:proofErr w:type="spellEnd"/>
      <w:r w:rsidRPr="003C77BF">
        <w:rPr>
          <w:rFonts w:asciiTheme="minorHAnsi" w:hAnsiTheme="minorHAnsi"/>
          <w:b/>
          <w:sz w:val="24"/>
          <w:szCs w:val="24"/>
          <w:u w:val="single"/>
        </w:rPr>
        <w:t xml:space="preserve"> multiplex</w:t>
      </w:r>
      <w:r w:rsidR="00781F6B" w:rsidRPr="003C77BF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C91544" w:rsidRPr="003C77BF" w:rsidRDefault="00C91544">
      <w:pPr>
        <w:jc w:val="both"/>
        <w:rPr>
          <w:rFonts w:asciiTheme="minorHAnsi" w:hAnsiTheme="minorHAnsi"/>
          <w:sz w:val="24"/>
          <w:szCs w:val="24"/>
        </w:rPr>
      </w:pPr>
    </w:p>
    <w:p w:rsidR="00627254" w:rsidRPr="003C77BF" w:rsidRDefault="00627254">
      <w:pPr>
        <w:jc w:val="both"/>
        <w:rPr>
          <w:rFonts w:asciiTheme="minorHAnsi" w:hAnsiTheme="minorHAnsi"/>
          <w:sz w:val="24"/>
          <w:szCs w:val="24"/>
        </w:rPr>
      </w:pPr>
    </w:p>
    <w:p w:rsidR="00406728" w:rsidRPr="003C77BF" w:rsidRDefault="00627254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3C77BF">
        <w:rPr>
          <w:rFonts w:asciiTheme="minorHAnsi" w:hAnsiTheme="minorHAnsi"/>
          <w:i/>
          <w:sz w:val="24"/>
          <w:szCs w:val="24"/>
        </w:rPr>
        <w:t>Elsővonalbeli</w:t>
      </w:r>
      <w:proofErr w:type="spellEnd"/>
      <w:r w:rsidRPr="003C77BF">
        <w:rPr>
          <w:rFonts w:asciiTheme="minorHAnsi" w:hAnsiTheme="minorHAnsi"/>
          <w:i/>
          <w:sz w:val="24"/>
          <w:szCs w:val="24"/>
        </w:rPr>
        <w:t xml:space="preserve"> terápiaként </w:t>
      </w:r>
      <w:proofErr w:type="spellStart"/>
      <w:r w:rsidRPr="003C77BF">
        <w:rPr>
          <w:rFonts w:asciiTheme="minorHAnsi" w:hAnsiTheme="minorHAnsi"/>
          <w:i/>
          <w:sz w:val="24"/>
          <w:szCs w:val="24"/>
        </w:rPr>
        <w:t>bortezomib</w:t>
      </w:r>
      <w:proofErr w:type="spellEnd"/>
      <w:r w:rsidRPr="003C77BF">
        <w:rPr>
          <w:rFonts w:asciiTheme="minorHAnsi" w:hAnsiTheme="minorHAnsi"/>
          <w:i/>
          <w:sz w:val="24"/>
          <w:szCs w:val="24"/>
        </w:rPr>
        <w:t xml:space="preserve"> </w:t>
      </w:r>
      <w:r w:rsidR="006430C2" w:rsidRPr="003C77BF">
        <w:rPr>
          <w:rFonts w:asciiTheme="minorHAnsi" w:hAnsiTheme="minorHAnsi"/>
          <w:i/>
          <w:sz w:val="24"/>
          <w:szCs w:val="24"/>
        </w:rPr>
        <w:t xml:space="preserve">vagy </w:t>
      </w:r>
      <w:proofErr w:type="spellStart"/>
      <w:r w:rsidR="006430C2" w:rsidRPr="003C77BF">
        <w:rPr>
          <w:rFonts w:asciiTheme="minorHAnsi" w:hAnsiTheme="minorHAnsi"/>
          <w:i/>
          <w:sz w:val="24"/>
          <w:szCs w:val="24"/>
        </w:rPr>
        <w:t>thalidomid</w:t>
      </w:r>
      <w:proofErr w:type="spellEnd"/>
      <w:r w:rsidR="006430C2" w:rsidRPr="003C77BF">
        <w:rPr>
          <w:rFonts w:asciiTheme="minorHAnsi" w:hAnsiTheme="minorHAnsi"/>
          <w:i/>
          <w:sz w:val="24"/>
          <w:szCs w:val="24"/>
        </w:rPr>
        <w:t xml:space="preserve"> </w:t>
      </w:r>
      <w:r w:rsidRPr="003C77BF">
        <w:rPr>
          <w:rFonts w:asciiTheme="minorHAnsi" w:hAnsiTheme="minorHAnsi"/>
          <w:i/>
          <w:sz w:val="24"/>
          <w:szCs w:val="24"/>
        </w:rPr>
        <w:t>ha</w:t>
      </w:r>
      <w:r w:rsidR="00406728" w:rsidRPr="003C77BF">
        <w:rPr>
          <w:rFonts w:asciiTheme="minorHAnsi" w:hAnsiTheme="minorHAnsi"/>
          <w:i/>
          <w:sz w:val="24"/>
          <w:szCs w:val="24"/>
        </w:rPr>
        <w:t xml:space="preserve">tóanyag választható. </w:t>
      </w:r>
    </w:p>
    <w:p w:rsidR="00627254" w:rsidRPr="003C77BF" w:rsidRDefault="00406728">
      <w:pPr>
        <w:pStyle w:val="Listaszerbekezds"/>
        <w:jc w:val="both"/>
        <w:rPr>
          <w:rFonts w:asciiTheme="minorHAnsi" w:hAnsiTheme="minorHAnsi"/>
          <w:sz w:val="24"/>
          <w:szCs w:val="24"/>
        </w:rPr>
      </w:pPr>
      <w:r w:rsidRPr="003C77BF">
        <w:rPr>
          <w:rFonts w:asciiTheme="minorHAnsi" w:hAnsiTheme="minorHAnsi"/>
          <w:sz w:val="24"/>
          <w:szCs w:val="24"/>
        </w:rPr>
        <w:t xml:space="preserve">Jelenleg tételes finanszírozás keretében elérhető </w:t>
      </w:r>
      <w:proofErr w:type="spellStart"/>
      <w:r w:rsidRPr="003C77BF">
        <w:rPr>
          <w:rFonts w:asciiTheme="minorHAnsi" w:hAnsiTheme="minorHAnsi"/>
          <w:sz w:val="24"/>
          <w:szCs w:val="24"/>
        </w:rPr>
        <w:t>bortezomib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hatóanyag a TEVA által szállított </w:t>
      </w:r>
      <w:proofErr w:type="spellStart"/>
      <w:r w:rsidRPr="003C77BF">
        <w:rPr>
          <w:rFonts w:asciiTheme="minorHAnsi" w:hAnsiTheme="minorHAnsi"/>
          <w:sz w:val="24"/>
          <w:szCs w:val="24"/>
        </w:rPr>
        <w:t>Bortezomib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77BF">
        <w:rPr>
          <w:rFonts w:asciiTheme="minorHAnsi" w:hAnsiTheme="minorHAnsi"/>
          <w:sz w:val="24"/>
          <w:szCs w:val="24"/>
        </w:rPr>
        <w:t>Actavis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, azonban várhatóan márciustól a </w:t>
      </w:r>
      <w:proofErr w:type="spellStart"/>
      <w:r w:rsidRPr="003C77BF">
        <w:rPr>
          <w:rFonts w:asciiTheme="minorHAnsi" w:hAnsiTheme="minorHAnsi"/>
          <w:sz w:val="24"/>
          <w:szCs w:val="24"/>
        </w:rPr>
        <w:t>Zegomib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készítmény </w:t>
      </w:r>
      <w:r w:rsidRPr="003C77BF">
        <w:rPr>
          <w:rFonts w:asciiTheme="minorHAnsi" w:hAnsiTheme="minorHAnsi"/>
          <w:sz w:val="24"/>
          <w:szCs w:val="24"/>
        </w:rPr>
        <w:lastRenderedPageBreak/>
        <w:t xml:space="preserve">válik elérhetővé ismét. Ennek pontos időpontjáról a későbbiekben tájékoztatjuk Önöket. </w:t>
      </w:r>
      <w:proofErr w:type="spellStart"/>
      <w:r w:rsidRPr="003C77BF">
        <w:rPr>
          <w:rFonts w:asciiTheme="minorHAnsi" w:hAnsiTheme="minorHAnsi"/>
          <w:sz w:val="24"/>
          <w:szCs w:val="24"/>
        </w:rPr>
        <w:t>Thalidomid</w:t>
      </w:r>
      <w:proofErr w:type="spellEnd"/>
      <w:r w:rsidR="004329E3" w:rsidRPr="003C77BF">
        <w:rPr>
          <w:rFonts w:asciiTheme="minorHAnsi" w:hAnsiTheme="minorHAnsi"/>
          <w:sz w:val="24"/>
          <w:szCs w:val="24"/>
        </w:rPr>
        <w:t xml:space="preserve"> hatóanyagot tartalmazó</w:t>
      </w:r>
      <w:r w:rsidRPr="003C77BF">
        <w:rPr>
          <w:rFonts w:asciiTheme="minorHAnsi" w:hAnsiTheme="minorHAnsi"/>
          <w:sz w:val="24"/>
          <w:szCs w:val="24"/>
        </w:rPr>
        <w:t xml:space="preserve"> készítmény jelenleg pénzügyi keret terhére érhető el. </w:t>
      </w:r>
    </w:p>
    <w:p w:rsidR="00627254" w:rsidRPr="003C77BF" w:rsidRDefault="00627254">
      <w:pPr>
        <w:pStyle w:val="Listaszerbekezds"/>
        <w:jc w:val="both"/>
        <w:rPr>
          <w:rFonts w:asciiTheme="minorHAnsi" w:hAnsiTheme="minorHAnsi"/>
          <w:sz w:val="24"/>
          <w:szCs w:val="24"/>
        </w:rPr>
      </w:pPr>
    </w:p>
    <w:p w:rsidR="00627254" w:rsidRPr="003C77BF" w:rsidRDefault="00627254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3C77BF">
        <w:rPr>
          <w:rFonts w:asciiTheme="minorHAnsi" w:hAnsiTheme="minorHAnsi"/>
          <w:i/>
          <w:sz w:val="24"/>
          <w:szCs w:val="24"/>
        </w:rPr>
        <w:t xml:space="preserve">Másodvonalban </w:t>
      </w:r>
      <w:r w:rsidR="006430C2" w:rsidRPr="003C77BF">
        <w:rPr>
          <w:rFonts w:asciiTheme="minorHAnsi" w:hAnsiTheme="minorHAnsi"/>
          <w:i/>
          <w:sz w:val="24"/>
          <w:szCs w:val="24"/>
        </w:rPr>
        <w:t xml:space="preserve">a fentieken túl </w:t>
      </w:r>
      <w:proofErr w:type="spellStart"/>
      <w:r w:rsidRPr="003C77BF">
        <w:rPr>
          <w:rFonts w:asciiTheme="minorHAnsi" w:hAnsiTheme="minorHAnsi"/>
          <w:i/>
          <w:sz w:val="24"/>
          <w:szCs w:val="24"/>
        </w:rPr>
        <w:t>le</w:t>
      </w:r>
      <w:r w:rsidR="00406728" w:rsidRPr="003C77BF">
        <w:rPr>
          <w:rFonts w:asciiTheme="minorHAnsi" w:hAnsiTheme="minorHAnsi"/>
          <w:i/>
          <w:sz w:val="24"/>
          <w:szCs w:val="24"/>
        </w:rPr>
        <w:t>nalidomid</w:t>
      </w:r>
      <w:proofErr w:type="spellEnd"/>
      <w:r w:rsidR="00406728" w:rsidRPr="003C77BF">
        <w:rPr>
          <w:rFonts w:asciiTheme="minorHAnsi" w:hAnsiTheme="minorHAnsi"/>
          <w:i/>
          <w:sz w:val="24"/>
          <w:szCs w:val="24"/>
        </w:rPr>
        <w:t xml:space="preserve"> hatóanyag választható. </w:t>
      </w:r>
    </w:p>
    <w:p w:rsidR="00627254" w:rsidRPr="003C77BF" w:rsidRDefault="00627254">
      <w:pPr>
        <w:pStyle w:val="Listaszerbekezds"/>
        <w:jc w:val="both"/>
        <w:rPr>
          <w:rFonts w:asciiTheme="minorHAnsi" w:hAnsiTheme="minorHAnsi"/>
          <w:sz w:val="24"/>
          <w:szCs w:val="24"/>
        </w:rPr>
      </w:pPr>
    </w:p>
    <w:p w:rsidR="00627254" w:rsidRPr="003C77BF" w:rsidRDefault="00627254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3C77BF">
        <w:rPr>
          <w:rFonts w:asciiTheme="minorHAnsi" w:hAnsiTheme="minorHAnsi"/>
          <w:i/>
          <w:sz w:val="24"/>
          <w:szCs w:val="24"/>
        </w:rPr>
        <w:t>Harmad</w:t>
      </w:r>
      <w:r w:rsidR="00406728" w:rsidRPr="003C77BF">
        <w:rPr>
          <w:rFonts w:asciiTheme="minorHAnsi" w:hAnsiTheme="minorHAnsi"/>
          <w:i/>
          <w:sz w:val="24"/>
          <w:szCs w:val="24"/>
        </w:rPr>
        <w:t xml:space="preserve">- és </w:t>
      </w:r>
      <w:proofErr w:type="spellStart"/>
      <w:r w:rsidR="00406728" w:rsidRPr="003C77BF">
        <w:rPr>
          <w:rFonts w:asciiTheme="minorHAnsi" w:hAnsiTheme="minorHAnsi"/>
          <w:i/>
          <w:sz w:val="24"/>
          <w:szCs w:val="24"/>
        </w:rPr>
        <w:t>negyed</w:t>
      </w:r>
      <w:r w:rsidRPr="003C77BF">
        <w:rPr>
          <w:rFonts w:asciiTheme="minorHAnsi" w:hAnsiTheme="minorHAnsi"/>
          <w:i/>
          <w:sz w:val="24"/>
          <w:szCs w:val="24"/>
        </w:rPr>
        <w:t>vonalban</w:t>
      </w:r>
      <w:proofErr w:type="spellEnd"/>
      <w:r w:rsidRPr="003C77BF">
        <w:rPr>
          <w:rFonts w:asciiTheme="minorHAnsi" w:hAnsiTheme="minorHAnsi"/>
          <w:i/>
          <w:sz w:val="24"/>
          <w:szCs w:val="24"/>
        </w:rPr>
        <w:t xml:space="preserve"> </w:t>
      </w:r>
      <w:r w:rsidR="006430C2" w:rsidRPr="003C77BF">
        <w:rPr>
          <w:rFonts w:asciiTheme="minorHAnsi" w:hAnsiTheme="minorHAnsi"/>
          <w:i/>
          <w:sz w:val="24"/>
          <w:szCs w:val="24"/>
        </w:rPr>
        <w:t xml:space="preserve">a fentieken túl </w:t>
      </w:r>
      <w:r w:rsidRPr="003C77BF">
        <w:rPr>
          <w:rFonts w:asciiTheme="minorHAnsi" w:hAnsiTheme="minorHAnsi"/>
          <w:i/>
          <w:sz w:val="24"/>
          <w:szCs w:val="24"/>
        </w:rPr>
        <w:t>az alábbi hatóanyagok közötti szabad választás biztosított:</w:t>
      </w:r>
    </w:p>
    <w:p w:rsidR="00627254" w:rsidRPr="003C77BF" w:rsidRDefault="00627254">
      <w:pPr>
        <w:pStyle w:val="Listaszerbekezds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3C77BF">
        <w:rPr>
          <w:rFonts w:asciiTheme="minorHAnsi" w:hAnsiTheme="minorHAnsi"/>
          <w:sz w:val="24"/>
          <w:szCs w:val="24"/>
        </w:rPr>
        <w:t>daratumumab</w:t>
      </w:r>
      <w:proofErr w:type="spellEnd"/>
    </w:p>
    <w:p w:rsidR="00627254" w:rsidRPr="003C77BF" w:rsidRDefault="00627254">
      <w:pPr>
        <w:pStyle w:val="Listaszerbekezds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3C77BF">
        <w:rPr>
          <w:rFonts w:asciiTheme="minorHAnsi" w:hAnsiTheme="minorHAnsi"/>
          <w:sz w:val="24"/>
          <w:szCs w:val="24"/>
        </w:rPr>
        <w:t>karfilzomib</w:t>
      </w:r>
      <w:proofErr w:type="spellEnd"/>
      <w:r w:rsidRPr="003C77BF">
        <w:rPr>
          <w:rFonts w:asciiTheme="minorHAnsi" w:hAnsiTheme="minorHAnsi"/>
          <w:sz w:val="24"/>
          <w:szCs w:val="24"/>
        </w:rPr>
        <w:t>,</w:t>
      </w:r>
    </w:p>
    <w:p w:rsidR="00627254" w:rsidRPr="003C77BF" w:rsidRDefault="00627254">
      <w:pPr>
        <w:pStyle w:val="Listaszerbekezds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3C77BF">
        <w:rPr>
          <w:rFonts w:asciiTheme="minorHAnsi" w:hAnsiTheme="minorHAnsi"/>
          <w:sz w:val="24"/>
          <w:szCs w:val="24"/>
        </w:rPr>
        <w:t>ixazomib</w:t>
      </w:r>
      <w:proofErr w:type="spellEnd"/>
      <w:r w:rsidRPr="003C77BF">
        <w:rPr>
          <w:rFonts w:asciiTheme="minorHAnsi" w:hAnsiTheme="minorHAnsi"/>
          <w:sz w:val="24"/>
          <w:szCs w:val="24"/>
        </w:rPr>
        <w:t>.</w:t>
      </w:r>
    </w:p>
    <w:p w:rsidR="00627254" w:rsidRPr="003C77BF" w:rsidRDefault="00627254">
      <w:pPr>
        <w:jc w:val="both"/>
        <w:rPr>
          <w:rFonts w:asciiTheme="minorHAnsi" w:hAnsiTheme="minorHAnsi"/>
          <w:sz w:val="24"/>
          <w:szCs w:val="24"/>
        </w:rPr>
      </w:pPr>
    </w:p>
    <w:p w:rsidR="00627254" w:rsidRPr="003C77BF" w:rsidRDefault="00627254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3C77BF">
        <w:rPr>
          <w:rFonts w:asciiTheme="minorHAnsi" w:hAnsiTheme="minorHAnsi"/>
          <w:sz w:val="24"/>
          <w:szCs w:val="24"/>
        </w:rPr>
        <w:t xml:space="preserve">Ebben a betegségcsoportban </w:t>
      </w:r>
      <w:r w:rsidR="00F80367" w:rsidRPr="003C77BF">
        <w:rPr>
          <w:rFonts w:asciiTheme="minorHAnsi" w:hAnsiTheme="minorHAnsi"/>
          <w:sz w:val="24"/>
          <w:szCs w:val="24"/>
        </w:rPr>
        <w:t>a csontvelő-</w:t>
      </w:r>
      <w:r w:rsidRPr="003C77BF">
        <w:rPr>
          <w:rFonts w:asciiTheme="minorHAnsi" w:hAnsiTheme="minorHAnsi"/>
          <w:sz w:val="24"/>
          <w:szCs w:val="24"/>
        </w:rPr>
        <w:t>transzplantációt követő fenntartó (1+</w:t>
      </w:r>
      <w:proofErr w:type="spellStart"/>
      <w:r w:rsidRPr="003C77BF">
        <w:rPr>
          <w:rFonts w:asciiTheme="minorHAnsi" w:hAnsiTheme="minorHAnsi"/>
          <w:sz w:val="24"/>
          <w:szCs w:val="24"/>
        </w:rPr>
        <w:t>1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év) </w:t>
      </w:r>
      <w:proofErr w:type="spellStart"/>
      <w:r w:rsidR="00F80367" w:rsidRPr="003C77BF">
        <w:rPr>
          <w:rFonts w:asciiTheme="minorHAnsi" w:hAnsiTheme="minorHAnsi"/>
          <w:sz w:val="24"/>
          <w:szCs w:val="24"/>
        </w:rPr>
        <w:t>lenalidomid</w:t>
      </w:r>
      <w:proofErr w:type="spellEnd"/>
      <w:r w:rsidR="00F80367" w:rsidRPr="003C77BF">
        <w:rPr>
          <w:rFonts w:asciiTheme="minorHAnsi" w:hAnsiTheme="minorHAnsi"/>
          <w:sz w:val="24"/>
          <w:szCs w:val="24"/>
        </w:rPr>
        <w:t xml:space="preserve"> hatóanyagot tartalmazó </w:t>
      </w:r>
      <w:proofErr w:type="spellStart"/>
      <w:r w:rsidRPr="003C77BF">
        <w:rPr>
          <w:rFonts w:asciiTheme="minorHAnsi" w:hAnsiTheme="minorHAnsi"/>
          <w:sz w:val="24"/>
          <w:szCs w:val="24"/>
        </w:rPr>
        <w:t>Revlimid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</w:t>
      </w:r>
      <w:r w:rsidR="00F80367" w:rsidRPr="003C77BF">
        <w:rPr>
          <w:rFonts w:asciiTheme="minorHAnsi" w:hAnsiTheme="minorHAnsi"/>
          <w:sz w:val="24"/>
          <w:szCs w:val="24"/>
        </w:rPr>
        <w:t xml:space="preserve">készítménnyel történő </w:t>
      </w:r>
      <w:r w:rsidRPr="003C77BF">
        <w:rPr>
          <w:rFonts w:asciiTheme="minorHAnsi" w:hAnsiTheme="minorHAnsi"/>
          <w:sz w:val="24"/>
          <w:szCs w:val="24"/>
        </w:rPr>
        <w:t xml:space="preserve">terápia esetén, nincs szükség egyedi </w:t>
      </w:r>
      <w:r w:rsidR="00F80367" w:rsidRPr="003C77BF">
        <w:rPr>
          <w:rFonts w:asciiTheme="minorHAnsi" w:hAnsiTheme="minorHAnsi"/>
          <w:sz w:val="24"/>
          <w:szCs w:val="24"/>
        </w:rPr>
        <w:t xml:space="preserve">méltányossági </w:t>
      </w:r>
      <w:r w:rsidRPr="003C77BF">
        <w:rPr>
          <w:rFonts w:asciiTheme="minorHAnsi" w:hAnsiTheme="minorHAnsi"/>
          <w:sz w:val="24"/>
          <w:szCs w:val="24"/>
        </w:rPr>
        <w:t xml:space="preserve">kérelem </w:t>
      </w:r>
      <w:r w:rsidR="00F80367" w:rsidRPr="003C77BF">
        <w:rPr>
          <w:rFonts w:asciiTheme="minorHAnsi" w:hAnsiTheme="minorHAnsi"/>
          <w:sz w:val="24"/>
          <w:szCs w:val="24"/>
        </w:rPr>
        <w:t xml:space="preserve">benyújtására a jövőben. A kérelem helyett a tételes on-line felületen elérhető </w:t>
      </w:r>
      <w:r w:rsidRPr="003C77BF">
        <w:rPr>
          <w:rFonts w:asciiTheme="minorHAnsi" w:hAnsiTheme="minorHAnsi"/>
          <w:sz w:val="24"/>
          <w:szCs w:val="24"/>
          <w:u w:val="single"/>
        </w:rPr>
        <w:t>ONK106 adatlap megjegyzés rovatába</w:t>
      </w:r>
      <w:r w:rsidR="00F80367" w:rsidRPr="003C77BF">
        <w:rPr>
          <w:rFonts w:asciiTheme="minorHAnsi" w:hAnsiTheme="minorHAnsi"/>
          <w:sz w:val="24"/>
          <w:szCs w:val="24"/>
          <w:u w:val="single"/>
        </w:rPr>
        <w:t>n</w:t>
      </w:r>
      <w:r w:rsidRPr="003C77BF">
        <w:rPr>
          <w:rFonts w:asciiTheme="minorHAnsi" w:hAnsiTheme="minorHAnsi"/>
          <w:sz w:val="24"/>
          <w:szCs w:val="24"/>
          <w:u w:val="single"/>
        </w:rPr>
        <w:t xml:space="preserve"> kérjük feltüntetni, hogy </w:t>
      </w:r>
      <w:r w:rsidR="00F80367" w:rsidRPr="003C77BF">
        <w:rPr>
          <w:rFonts w:asciiTheme="minorHAnsi" w:hAnsiTheme="minorHAnsi"/>
          <w:sz w:val="24"/>
          <w:szCs w:val="24"/>
          <w:u w:val="single"/>
        </w:rPr>
        <w:t>„</w:t>
      </w:r>
      <w:r w:rsidRPr="003C77BF">
        <w:rPr>
          <w:rFonts w:asciiTheme="minorHAnsi" w:hAnsiTheme="minorHAnsi"/>
          <w:sz w:val="24"/>
          <w:szCs w:val="24"/>
          <w:u w:val="single"/>
        </w:rPr>
        <w:t xml:space="preserve">transzplantáció után fenntartó </w:t>
      </w:r>
      <w:proofErr w:type="spellStart"/>
      <w:r w:rsidRPr="003C77BF">
        <w:rPr>
          <w:rFonts w:asciiTheme="minorHAnsi" w:hAnsiTheme="minorHAnsi"/>
          <w:sz w:val="24"/>
          <w:szCs w:val="24"/>
          <w:u w:val="single"/>
        </w:rPr>
        <w:t>Revlimid</w:t>
      </w:r>
      <w:proofErr w:type="spellEnd"/>
      <w:r w:rsidRPr="003C77BF">
        <w:rPr>
          <w:rFonts w:asciiTheme="minorHAnsi" w:hAnsiTheme="minorHAnsi"/>
          <w:sz w:val="24"/>
          <w:szCs w:val="24"/>
          <w:u w:val="single"/>
        </w:rPr>
        <w:t xml:space="preserve"> terápia</w:t>
      </w:r>
      <w:r w:rsidR="00F80367" w:rsidRPr="003C77BF">
        <w:rPr>
          <w:rFonts w:asciiTheme="minorHAnsi" w:hAnsiTheme="minorHAnsi"/>
          <w:sz w:val="24"/>
          <w:szCs w:val="24"/>
          <w:u w:val="single"/>
        </w:rPr>
        <w:t>”</w:t>
      </w:r>
      <w:r w:rsidRPr="003C77BF">
        <w:rPr>
          <w:rFonts w:asciiTheme="minorHAnsi" w:hAnsiTheme="minorHAnsi"/>
          <w:sz w:val="24"/>
          <w:szCs w:val="24"/>
          <w:u w:val="single"/>
        </w:rPr>
        <w:t>.</w:t>
      </w:r>
    </w:p>
    <w:p w:rsidR="00546992" w:rsidRDefault="00546992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42311E" w:rsidRPr="003C77BF" w:rsidRDefault="0042311E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7D61F7" w:rsidRPr="003C77BF" w:rsidRDefault="007D61F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C77BF">
        <w:rPr>
          <w:rFonts w:asciiTheme="minorHAnsi" w:hAnsiTheme="minorHAnsi"/>
          <w:b/>
          <w:sz w:val="24"/>
          <w:szCs w:val="24"/>
          <w:u w:val="single"/>
        </w:rPr>
        <w:t xml:space="preserve">Krónikus </w:t>
      </w:r>
      <w:proofErr w:type="spellStart"/>
      <w:r w:rsidRPr="003C77BF">
        <w:rPr>
          <w:rFonts w:asciiTheme="minorHAnsi" w:hAnsiTheme="minorHAnsi"/>
          <w:b/>
          <w:sz w:val="24"/>
          <w:szCs w:val="24"/>
          <w:u w:val="single"/>
        </w:rPr>
        <w:t>lymphoid</w:t>
      </w:r>
      <w:proofErr w:type="spellEnd"/>
      <w:r w:rsidRPr="003C77BF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3C77BF">
        <w:rPr>
          <w:rFonts w:asciiTheme="minorHAnsi" w:hAnsiTheme="minorHAnsi"/>
          <w:b/>
          <w:sz w:val="24"/>
          <w:szCs w:val="24"/>
          <w:u w:val="single"/>
        </w:rPr>
        <w:t>leukemia</w:t>
      </w:r>
      <w:proofErr w:type="spellEnd"/>
      <w:r w:rsidRPr="003C77BF">
        <w:rPr>
          <w:rFonts w:asciiTheme="minorHAnsi" w:hAnsiTheme="minorHAnsi"/>
          <w:b/>
          <w:sz w:val="24"/>
          <w:szCs w:val="24"/>
          <w:u w:val="single"/>
        </w:rPr>
        <w:t xml:space="preserve"> (CLL)</w:t>
      </w:r>
    </w:p>
    <w:p w:rsidR="00406728" w:rsidRDefault="00406728">
      <w:pPr>
        <w:jc w:val="both"/>
        <w:rPr>
          <w:rFonts w:asciiTheme="minorHAnsi" w:hAnsiTheme="minorHAnsi"/>
          <w:sz w:val="24"/>
          <w:szCs w:val="24"/>
        </w:rPr>
      </w:pPr>
    </w:p>
    <w:p w:rsidR="00C91544" w:rsidRPr="003C77BF" w:rsidRDefault="003C77BF" w:rsidP="00066792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3C77BF">
        <w:rPr>
          <w:rFonts w:asciiTheme="minorHAnsi" w:hAnsiTheme="minorHAnsi"/>
          <w:sz w:val="24"/>
          <w:szCs w:val="24"/>
          <w:u w:val="single"/>
        </w:rPr>
        <w:t>Ibrutinib</w:t>
      </w:r>
      <w:proofErr w:type="spellEnd"/>
      <w:r w:rsidRPr="003C77BF">
        <w:rPr>
          <w:rFonts w:asciiTheme="minorHAnsi" w:hAnsiTheme="minorHAnsi"/>
          <w:sz w:val="24"/>
          <w:szCs w:val="24"/>
          <w:u w:val="single"/>
        </w:rPr>
        <w:t xml:space="preserve"> hatóanyag korlátozás nélkül alkalmazható a kihirdetett indikációban:</w:t>
      </w:r>
    </w:p>
    <w:p w:rsidR="00C91544" w:rsidRPr="0042311E" w:rsidRDefault="00C91544" w:rsidP="0042311E">
      <w:pPr>
        <w:pStyle w:val="Listaszerbekezds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42311E">
        <w:rPr>
          <w:rFonts w:asciiTheme="minorHAnsi" w:hAnsiTheme="minorHAnsi"/>
          <w:sz w:val="24"/>
          <w:szCs w:val="24"/>
        </w:rPr>
        <w:t xml:space="preserve">17p </w:t>
      </w:r>
      <w:proofErr w:type="spellStart"/>
      <w:r w:rsidRPr="0042311E">
        <w:rPr>
          <w:rFonts w:asciiTheme="minorHAnsi" w:hAnsiTheme="minorHAnsi"/>
          <w:sz w:val="24"/>
          <w:szCs w:val="24"/>
        </w:rPr>
        <w:t>delécióval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vagy TP53 mutációval rendelkező, </w:t>
      </w:r>
      <w:proofErr w:type="spellStart"/>
      <w:r w:rsidRPr="0042311E">
        <w:rPr>
          <w:rFonts w:asciiTheme="minorHAnsi" w:hAnsiTheme="minorHAnsi"/>
          <w:sz w:val="24"/>
          <w:szCs w:val="24"/>
        </w:rPr>
        <w:t>allogén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transzplantációra alkalmatlan krónikus </w:t>
      </w:r>
      <w:proofErr w:type="spellStart"/>
      <w:r w:rsidRPr="0042311E">
        <w:rPr>
          <w:rFonts w:asciiTheme="minorHAnsi" w:hAnsiTheme="minorHAnsi"/>
          <w:sz w:val="24"/>
          <w:szCs w:val="24"/>
        </w:rPr>
        <w:t>lymphoid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2311E">
        <w:rPr>
          <w:rFonts w:asciiTheme="minorHAnsi" w:hAnsiTheme="minorHAnsi"/>
          <w:sz w:val="24"/>
          <w:szCs w:val="24"/>
        </w:rPr>
        <w:t>leukemiaban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szenvedő betegek esetén, valamint azon betegek részére, akiknél legalább két </w:t>
      </w:r>
      <w:proofErr w:type="spellStart"/>
      <w:r w:rsidRPr="0042311E">
        <w:rPr>
          <w:rFonts w:asciiTheme="minorHAnsi" w:hAnsiTheme="minorHAnsi"/>
          <w:sz w:val="24"/>
          <w:szCs w:val="24"/>
        </w:rPr>
        <w:t>immunokemoterápiás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kezelést követően a </w:t>
      </w:r>
      <w:proofErr w:type="spellStart"/>
      <w:r w:rsidRPr="0042311E">
        <w:rPr>
          <w:rFonts w:asciiTheme="minorHAnsi" w:hAnsiTheme="minorHAnsi"/>
          <w:sz w:val="24"/>
          <w:szCs w:val="24"/>
        </w:rPr>
        <w:t>relapszus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vagy progresszió 12 hónapon belül következik be.</w:t>
      </w:r>
    </w:p>
    <w:p w:rsidR="00C91544" w:rsidRPr="003C77BF" w:rsidRDefault="00C91544" w:rsidP="0042311E">
      <w:pPr>
        <w:pStyle w:val="Listaszerbekezds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C77BF">
        <w:rPr>
          <w:rFonts w:asciiTheme="minorHAnsi" w:hAnsiTheme="minorHAnsi"/>
          <w:sz w:val="24"/>
          <w:szCs w:val="24"/>
        </w:rPr>
        <w:t xml:space="preserve">Olyan 17p </w:t>
      </w:r>
      <w:proofErr w:type="spellStart"/>
      <w:r w:rsidRPr="003C77BF">
        <w:rPr>
          <w:rFonts w:asciiTheme="minorHAnsi" w:hAnsiTheme="minorHAnsi"/>
          <w:sz w:val="24"/>
          <w:szCs w:val="24"/>
        </w:rPr>
        <w:t>delécióval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vagy TP53 mutációval nem rendelkező krónikus </w:t>
      </w:r>
      <w:proofErr w:type="spellStart"/>
      <w:r w:rsidRPr="003C77BF">
        <w:rPr>
          <w:rFonts w:asciiTheme="minorHAnsi" w:hAnsiTheme="minorHAnsi"/>
          <w:sz w:val="24"/>
          <w:szCs w:val="24"/>
        </w:rPr>
        <w:t>lymphoid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leukémiában (CLL) szenvedő betegek esetén, akiknél egy kezelési ciklust követően </w:t>
      </w:r>
      <w:proofErr w:type="spellStart"/>
      <w:r w:rsidRPr="003C77BF">
        <w:rPr>
          <w:rFonts w:asciiTheme="minorHAnsi" w:hAnsiTheme="minorHAnsi"/>
          <w:sz w:val="24"/>
          <w:szCs w:val="24"/>
        </w:rPr>
        <w:t>relapszus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vagy progresszió következik be.</w:t>
      </w:r>
    </w:p>
    <w:p w:rsidR="00C91544" w:rsidRPr="003C77BF" w:rsidRDefault="00C91544" w:rsidP="00066792">
      <w:pPr>
        <w:jc w:val="both"/>
        <w:rPr>
          <w:rFonts w:asciiTheme="minorHAnsi" w:hAnsiTheme="minorHAnsi"/>
          <w:sz w:val="24"/>
          <w:szCs w:val="24"/>
        </w:rPr>
      </w:pPr>
    </w:p>
    <w:p w:rsidR="00C91544" w:rsidRPr="003C77BF" w:rsidRDefault="003C77BF" w:rsidP="00066792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  <w:u w:val="single"/>
        </w:rPr>
        <w:t>Venetoklax</w:t>
      </w:r>
      <w:proofErr w:type="spellEnd"/>
      <w:r w:rsidRPr="003C77BF">
        <w:rPr>
          <w:rFonts w:asciiTheme="minorHAnsi" w:hAnsiTheme="minorHAnsi"/>
          <w:sz w:val="24"/>
          <w:szCs w:val="24"/>
          <w:u w:val="single"/>
        </w:rPr>
        <w:t xml:space="preserve"> hatóanyag korlátozás nélkül alkalmazható a kihirdetett indikációban</w:t>
      </w:r>
      <w:r w:rsidRPr="003C77BF" w:rsidDel="003C77BF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="00C91544" w:rsidRPr="003C77BF">
        <w:rPr>
          <w:rFonts w:asciiTheme="minorHAnsi" w:hAnsiTheme="minorHAnsi"/>
          <w:sz w:val="24"/>
          <w:szCs w:val="24"/>
        </w:rPr>
        <w:t>-Rituximabbal</w:t>
      </w:r>
      <w:proofErr w:type="spellEnd"/>
      <w:r w:rsidR="00C91544" w:rsidRPr="003C77BF">
        <w:rPr>
          <w:rFonts w:asciiTheme="minorHAnsi" w:hAnsiTheme="minorHAnsi"/>
          <w:sz w:val="24"/>
          <w:szCs w:val="24"/>
        </w:rPr>
        <w:t xml:space="preserve"> kombinálva olyan krónikus </w:t>
      </w:r>
      <w:proofErr w:type="spellStart"/>
      <w:r w:rsidR="00C91544" w:rsidRPr="003C77BF">
        <w:rPr>
          <w:rFonts w:asciiTheme="minorHAnsi" w:hAnsiTheme="minorHAnsi"/>
          <w:sz w:val="24"/>
          <w:szCs w:val="24"/>
        </w:rPr>
        <w:t>lymphoid</w:t>
      </w:r>
      <w:proofErr w:type="spellEnd"/>
      <w:r w:rsidR="00C91544" w:rsidRPr="003C77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91544" w:rsidRPr="003C77BF">
        <w:rPr>
          <w:rFonts w:asciiTheme="minorHAnsi" w:hAnsiTheme="minorHAnsi"/>
          <w:sz w:val="24"/>
          <w:szCs w:val="24"/>
        </w:rPr>
        <w:t>leukaemiában</w:t>
      </w:r>
      <w:proofErr w:type="spellEnd"/>
      <w:r w:rsidR="00C91544" w:rsidRPr="003C77BF">
        <w:rPr>
          <w:rFonts w:asciiTheme="minorHAnsi" w:hAnsiTheme="minorHAnsi"/>
          <w:sz w:val="24"/>
          <w:szCs w:val="24"/>
        </w:rPr>
        <w:t xml:space="preserve"> (CLL) szenvedő felnőtt betegek kezelésére, akik korábban már legalább egy kezelésben részesültek.</w:t>
      </w:r>
    </w:p>
    <w:p w:rsidR="00C91544" w:rsidRPr="003C77BF" w:rsidRDefault="00C91544" w:rsidP="00066792">
      <w:pPr>
        <w:jc w:val="both"/>
        <w:rPr>
          <w:rFonts w:asciiTheme="minorHAnsi" w:hAnsiTheme="minorHAnsi"/>
          <w:sz w:val="24"/>
          <w:szCs w:val="24"/>
        </w:rPr>
      </w:pPr>
      <w:r w:rsidRPr="003C77BF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3C77BF">
        <w:rPr>
          <w:rFonts w:asciiTheme="minorHAnsi" w:hAnsiTheme="minorHAnsi"/>
          <w:sz w:val="24"/>
          <w:szCs w:val="24"/>
        </w:rPr>
        <w:t>Monoterápiaként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krónikus </w:t>
      </w:r>
      <w:proofErr w:type="spellStart"/>
      <w:r w:rsidRPr="003C77BF">
        <w:rPr>
          <w:rFonts w:asciiTheme="minorHAnsi" w:hAnsiTheme="minorHAnsi"/>
          <w:sz w:val="24"/>
          <w:szCs w:val="24"/>
        </w:rPr>
        <w:t>lymphoid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77BF">
        <w:rPr>
          <w:rFonts w:asciiTheme="minorHAnsi" w:hAnsiTheme="minorHAnsi"/>
          <w:sz w:val="24"/>
          <w:szCs w:val="24"/>
        </w:rPr>
        <w:t>leukaemiában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(CLL) szenvedő felnőtt betegek kezelésére</w:t>
      </w:r>
    </w:p>
    <w:p w:rsidR="00C91544" w:rsidRPr="003C77BF" w:rsidRDefault="00C91544" w:rsidP="00066792">
      <w:pPr>
        <w:jc w:val="both"/>
        <w:rPr>
          <w:rFonts w:asciiTheme="minorHAnsi" w:hAnsiTheme="minorHAnsi"/>
          <w:sz w:val="24"/>
          <w:szCs w:val="24"/>
        </w:rPr>
      </w:pPr>
      <w:r w:rsidRPr="003C77BF">
        <w:rPr>
          <w:rFonts w:asciiTheme="minorHAnsi" w:hAnsiTheme="minorHAnsi"/>
          <w:sz w:val="24"/>
          <w:szCs w:val="24"/>
        </w:rPr>
        <w:t xml:space="preserve">- akik 17p </w:t>
      </w:r>
      <w:proofErr w:type="spellStart"/>
      <w:r w:rsidRPr="003C77BF">
        <w:rPr>
          <w:rFonts w:asciiTheme="minorHAnsi" w:hAnsiTheme="minorHAnsi"/>
          <w:sz w:val="24"/>
          <w:szCs w:val="24"/>
        </w:rPr>
        <w:t>deléciót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vagy TP53 mutációt hordozók, és akiknél a </w:t>
      </w:r>
      <w:proofErr w:type="spellStart"/>
      <w:r w:rsidRPr="003C77BF">
        <w:rPr>
          <w:rFonts w:asciiTheme="minorHAnsi" w:hAnsiTheme="minorHAnsi"/>
          <w:sz w:val="24"/>
          <w:szCs w:val="24"/>
        </w:rPr>
        <w:t>B-sejt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receptor jelút gátlás nem alkalmazható, vagy az eredménytelen volt; vagy</w:t>
      </w:r>
    </w:p>
    <w:p w:rsidR="00C91544" w:rsidRPr="003C77BF" w:rsidRDefault="00C91544" w:rsidP="00066792">
      <w:pPr>
        <w:jc w:val="both"/>
        <w:rPr>
          <w:rFonts w:asciiTheme="minorHAnsi" w:hAnsiTheme="minorHAnsi"/>
          <w:sz w:val="24"/>
          <w:szCs w:val="24"/>
        </w:rPr>
      </w:pPr>
      <w:r w:rsidRPr="003C77BF">
        <w:rPr>
          <w:rFonts w:asciiTheme="minorHAnsi" w:hAnsiTheme="minorHAnsi"/>
          <w:sz w:val="24"/>
          <w:szCs w:val="24"/>
        </w:rPr>
        <w:t xml:space="preserve">- akik 17p </w:t>
      </w:r>
      <w:proofErr w:type="spellStart"/>
      <w:r w:rsidRPr="003C77BF">
        <w:rPr>
          <w:rFonts w:asciiTheme="minorHAnsi" w:hAnsiTheme="minorHAnsi"/>
          <w:sz w:val="24"/>
          <w:szCs w:val="24"/>
        </w:rPr>
        <w:t>deléciót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vagy TP53 mutációt nem </w:t>
      </w:r>
      <w:proofErr w:type="gramStart"/>
      <w:r w:rsidRPr="003C77BF">
        <w:rPr>
          <w:rFonts w:asciiTheme="minorHAnsi" w:hAnsiTheme="minorHAnsi"/>
          <w:sz w:val="24"/>
          <w:szCs w:val="24"/>
        </w:rPr>
        <w:t>hordozók</w:t>
      </w:r>
      <w:proofErr w:type="gramEnd"/>
      <w:r w:rsidRPr="003C77BF">
        <w:rPr>
          <w:rFonts w:asciiTheme="minorHAnsi" w:hAnsiTheme="minorHAnsi"/>
          <w:sz w:val="24"/>
          <w:szCs w:val="24"/>
        </w:rPr>
        <w:t xml:space="preserve"> és akiknél az </w:t>
      </w:r>
      <w:proofErr w:type="spellStart"/>
      <w:r w:rsidRPr="003C77BF">
        <w:rPr>
          <w:rFonts w:asciiTheme="minorHAnsi" w:hAnsiTheme="minorHAnsi"/>
          <w:sz w:val="24"/>
          <w:szCs w:val="24"/>
        </w:rPr>
        <w:t>immuno-kemoterápia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és a </w:t>
      </w:r>
      <w:proofErr w:type="spellStart"/>
      <w:r w:rsidRPr="003C77BF">
        <w:rPr>
          <w:rFonts w:asciiTheme="minorHAnsi" w:hAnsiTheme="minorHAnsi"/>
          <w:sz w:val="24"/>
          <w:szCs w:val="24"/>
        </w:rPr>
        <w:t>B-sejt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receptor jelút gátlás is eredménytelen volt.</w:t>
      </w:r>
    </w:p>
    <w:p w:rsidR="00C91544" w:rsidRPr="003C77BF" w:rsidRDefault="00C91544" w:rsidP="00066792">
      <w:pPr>
        <w:jc w:val="both"/>
        <w:rPr>
          <w:rFonts w:asciiTheme="minorHAnsi" w:hAnsiTheme="minorHAnsi"/>
          <w:sz w:val="24"/>
          <w:szCs w:val="24"/>
        </w:rPr>
      </w:pPr>
      <w:r w:rsidRPr="003C77BF">
        <w:rPr>
          <w:rFonts w:asciiTheme="minorHAnsi" w:hAnsiTheme="minorHAnsi"/>
          <w:sz w:val="24"/>
          <w:szCs w:val="24"/>
        </w:rPr>
        <w:t>A kezelés a betegség progressziójáig, vagy addig folytatható, ameddig a beteg a kezelést tolerálja.</w:t>
      </w:r>
    </w:p>
    <w:p w:rsidR="00C91544" w:rsidRPr="003C77BF" w:rsidRDefault="00C91544" w:rsidP="00066792">
      <w:pPr>
        <w:jc w:val="both"/>
        <w:rPr>
          <w:rFonts w:asciiTheme="minorHAnsi" w:hAnsiTheme="minorHAnsi"/>
          <w:sz w:val="24"/>
          <w:szCs w:val="24"/>
        </w:rPr>
      </w:pPr>
    </w:p>
    <w:p w:rsidR="003C77BF" w:rsidRPr="003C77BF" w:rsidRDefault="003C77BF" w:rsidP="003C77BF">
      <w:pPr>
        <w:jc w:val="both"/>
        <w:rPr>
          <w:rFonts w:asciiTheme="minorHAnsi" w:hAnsiTheme="minorHAnsi"/>
          <w:sz w:val="24"/>
          <w:szCs w:val="24"/>
        </w:rPr>
      </w:pPr>
      <w:r w:rsidRPr="003C77BF">
        <w:rPr>
          <w:rFonts w:asciiTheme="minorHAnsi" w:hAnsiTheme="minorHAnsi"/>
          <w:sz w:val="24"/>
          <w:szCs w:val="24"/>
        </w:rPr>
        <w:t xml:space="preserve">Tételes finanszírozás keretében elérhető </w:t>
      </w:r>
      <w:proofErr w:type="spellStart"/>
      <w:r w:rsidRPr="003C77BF">
        <w:rPr>
          <w:rFonts w:asciiTheme="minorHAnsi" w:hAnsiTheme="minorHAnsi"/>
          <w:sz w:val="24"/>
          <w:szCs w:val="24"/>
        </w:rPr>
        <w:t>ibrutinib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hatóanyagot tartalmazó </w:t>
      </w:r>
      <w:proofErr w:type="spellStart"/>
      <w:r w:rsidRPr="003C77BF">
        <w:rPr>
          <w:rFonts w:asciiTheme="minorHAnsi" w:hAnsiTheme="minorHAnsi"/>
          <w:sz w:val="24"/>
          <w:szCs w:val="24"/>
        </w:rPr>
        <w:t>Imbruvica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és a </w:t>
      </w:r>
      <w:proofErr w:type="spellStart"/>
      <w:r w:rsidRPr="003C77BF">
        <w:rPr>
          <w:rFonts w:asciiTheme="minorHAnsi" w:hAnsiTheme="minorHAnsi"/>
          <w:sz w:val="24"/>
          <w:szCs w:val="24"/>
        </w:rPr>
        <w:t>venetoklax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hatóanyagot tartalmazó </w:t>
      </w:r>
      <w:proofErr w:type="spellStart"/>
      <w:r w:rsidRPr="003C77BF">
        <w:rPr>
          <w:rFonts w:asciiTheme="minorHAnsi" w:hAnsiTheme="minorHAnsi"/>
          <w:sz w:val="24"/>
          <w:szCs w:val="24"/>
        </w:rPr>
        <w:t>Venclyxto</w:t>
      </w:r>
      <w:proofErr w:type="spellEnd"/>
      <w:r w:rsidRPr="003C77BF">
        <w:rPr>
          <w:rFonts w:asciiTheme="minorHAnsi" w:hAnsiTheme="minorHAnsi"/>
          <w:sz w:val="24"/>
          <w:szCs w:val="24"/>
        </w:rPr>
        <w:t xml:space="preserve"> készítmények </w:t>
      </w:r>
      <w:r w:rsidRPr="003C77BF">
        <w:rPr>
          <w:rFonts w:asciiTheme="minorHAnsi" w:hAnsiTheme="minorHAnsi"/>
          <w:sz w:val="24"/>
          <w:szCs w:val="24"/>
          <w:u w:val="single"/>
        </w:rPr>
        <w:t>egymást követő vonalban</w:t>
      </w:r>
      <w:r w:rsidRPr="003C77BF">
        <w:rPr>
          <w:rFonts w:asciiTheme="minorHAnsi" w:hAnsiTheme="minorHAnsi"/>
          <w:sz w:val="24"/>
          <w:szCs w:val="24"/>
        </w:rPr>
        <w:t xml:space="preserve"> történő alkalmazásához </w:t>
      </w:r>
      <w:r w:rsidRPr="003C77BF">
        <w:rPr>
          <w:rFonts w:asciiTheme="minorHAnsi" w:hAnsiTheme="minorHAnsi"/>
          <w:sz w:val="24"/>
          <w:szCs w:val="24"/>
          <w:u w:val="single"/>
        </w:rPr>
        <w:t>külön jóváhagyás nem szükséges.</w:t>
      </w:r>
      <w:r w:rsidRPr="003C77BF">
        <w:rPr>
          <w:rFonts w:asciiTheme="minorHAnsi" w:hAnsiTheme="minorHAnsi"/>
          <w:sz w:val="24"/>
          <w:szCs w:val="24"/>
        </w:rPr>
        <w:t xml:space="preserve"> A kezelőorvos döntése alapján, a finanszírozási szabályoknak megfelelően a készítmények alkalmazhatóak. </w:t>
      </w:r>
    </w:p>
    <w:p w:rsidR="003C77BF" w:rsidRPr="003C77BF" w:rsidRDefault="003C77BF" w:rsidP="00066792">
      <w:pPr>
        <w:jc w:val="both"/>
        <w:rPr>
          <w:rFonts w:asciiTheme="minorHAnsi" w:hAnsiTheme="minorHAnsi"/>
          <w:sz w:val="24"/>
          <w:szCs w:val="24"/>
        </w:rPr>
      </w:pPr>
    </w:p>
    <w:p w:rsidR="003C77BF" w:rsidRPr="003C77BF" w:rsidRDefault="003C77BF" w:rsidP="00066792">
      <w:pPr>
        <w:jc w:val="both"/>
        <w:rPr>
          <w:rFonts w:asciiTheme="minorHAnsi" w:hAnsiTheme="minorHAnsi"/>
          <w:sz w:val="24"/>
          <w:szCs w:val="24"/>
        </w:rPr>
      </w:pPr>
    </w:p>
    <w:p w:rsidR="007D61F7" w:rsidRPr="003C77BF" w:rsidRDefault="007D61F7" w:rsidP="00066792">
      <w:pPr>
        <w:jc w:val="both"/>
        <w:rPr>
          <w:rFonts w:asciiTheme="minorHAnsi" w:hAnsiTheme="minorHAnsi"/>
          <w:sz w:val="24"/>
          <w:szCs w:val="24"/>
        </w:rPr>
      </w:pPr>
    </w:p>
    <w:p w:rsidR="00325964" w:rsidRPr="003C77BF" w:rsidRDefault="00325964" w:rsidP="00066792">
      <w:pPr>
        <w:jc w:val="both"/>
        <w:rPr>
          <w:rFonts w:asciiTheme="minorHAnsi" w:hAnsiTheme="minorHAnsi"/>
          <w:sz w:val="24"/>
          <w:szCs w:val="24"/>
        </w:rPr>
      </w:pPr>
    </w:p>
    <w:p w:rsidR="00781F6B" w:rsidRPr="003C77BF" w:rsidRDefault="003C77BF" w:rsidP="00066792">
      <w:pPr>
        <w:jc w:val="both"/>
        <w:rPr>
          <w:rFonts w:asciiTheme="minorHAnsi" w:hAnsiTheme="minorHAnsi"/>
          <w:sz w:val="24"/>
          <w:szCs w:val="24"/>
          <w:u w:val="single"/>
        </w:rPr>
      </w:pPr>
      <w:proofErr w:type="spellStart"/>
      <w:r>
        <w:rPr>
          <w:rFonts w:asciiTheme="minorHAnsi" w:hAnsiTheme="minorHAnsi"/>
          <w:sz w:val="24"/>
          <w:szCs w:val="24"/>
          <w:u w:val="single"/>
        </w:rPr>
        <w:t>O</w:t>
      </w:r>
      <w:r w:rsidR="00781F6B" w:rsidRPr="003C77BF">
        <w:rPr>
          <w:rFonts w:asciiTheme="minorHAnsi" w:hAnsiTheme="minorHAnsi"/>
          <w:sz w:val="24"/>
          <w:szCs w:val="24"/>
          <w:u w:val="single"/>
        </w:rPr>
        <w:t>binutuzumab</w:t>
      </w:r>
      <w:proofErr w:type="spellEnd"/>
      <w:r>
        <w:rPr>
          <w:rFonts w:asciiTheme="minorHAnsi" w:hAnsiTheme="minorHAnsi"/>
          <w:sz w:val="24"/>
          <w:szCs w:val="24"/>
          <w:u w:val="single"/>
        </w:rPr>
        <w:t xml:space="preserve"> alkalmazására korlátozás nélkül van lehetőség az alábbi indikációban</w:t>
      </w:r>
      <w:r w:rsidR="0042311E">
        <w:rPr>
          <w:rFonts w:asciiTheme="minorHAnsi" w:hAnsiTheme="minorHAnsi"/>
          <w:sz w:val="24"/>
          <w:szCs w:val="24"/>
          <w:u w:val="single"/>
        </w:rPr>
        <w:t>:</w:t>
      </w:r>
    </w:p>
    <w:p w:rsidR="00781F6B" w:rsidRPr="0042311E" w:rsidRDefault="00781F6B" w:rsidP="0042311E">
      <w:pPr>
        <w:pStyle w:val="Listaszerbekezds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42311E">
        <w:rPr>
          <w:rFonts w:asciiTheme="minorHAnsi" w:hAnsiTheme="minorHAnsi"/>
          <w:sz w:val="24"/>
          <w:szCs w:val="24"/>
        </w:rPr>
        <w:t xml:space="preserve">Korábban nem kezelt, 11q és a 17p </w:t>
      </w:r>
      <w:proofErr w:type="spellStart"/>
      <w:r w:rsidRPr="0042311E">
        <w:rPr>
          <w:rFonts w:asciiTheme="minorHAnsi" w:hAnsiTheme="minorHAnsi"/>
          <w:sz w:val="24"/>
          <w:szCs w:val="24"/>
        </w:rPr>
        <w:t>deléció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nélküli, jelentős társbetegségekkel (</w:t>
      </w:r>
      <w:proofErr w:type="spellStart"/>
      <w:proofErr w:type="gramStart"/>
      <w:r w:rsidRPr="0042311E">
        <w:rPr>
          <w:rFonts w:asciiTheme="minorHAnsi" w:hAnsiTheme="minorHAnsi"/>
          <w:sz w:val="24"/>
          <w:szCs w:val="24"/>
        </w:rPr>
        <w:t>CIRS-score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&gt;</w:t>
      </w:r>
      <w:proofErr w:type="gramEnd"/>
      <w:r w:rsidRPr="0042311E">
        <w:rPr>
          <w:rFonts w:asciiTheme="minorHAnsi" w:hAnsiTheme="minorHAnsi"/>
          <w:sz w:val="24"/>
          <w:szCs w:val="24"/>
        </w:rPr>
        <w:t xml:space="preserve"> 6, </w:t>
      </w:r>
      <w:proofErr w:type="spellStart"/>
      <w:r w:rsidRPr="0042311E">
        <w:rPr>
          <w:rFonts w:asciiTheme="minorHAnsi" w:hAnsiTheme="minorHAnsi"/>
          <w:sz w:val="24"/>
          <w:szCs w:val="24"/>
        </w:rPr>
        <w:t>creatinin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2311E">
        <w:rPr>
          <w:rFonts w:asciiTheme="minorHAnsi" w:hAnsiTheme="minorHAnsi"/>
          <w:sz w:val="24"/>
          <w:szCs w:val="24"/>
        </w:rPr>
        <w:t>clearance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&lt;70 ml/perc, RAI III-IV) és ECOG skálán 0-2 értékkel rendelkező krónikus </w:t>
      </w:r>
      <w:proofErr w:type="spellStart"/>
      <w:r w:rsidRPr="0042311E">
        <w:rPr>
          <w:rFonts w:asciiTheme="minorHAnsi" w:hAnsiTheme="minorHAnsi"/>
          <w:sz w:val="24"/>
          <w:szCs w:val="24"/>
        </w:rPr>
        <w:t>lymphocytás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2311E">
        <w:rPr>
          <w:rFonts w:asciiTheme="minorHAnsi" w:hAnsiTheme="minorHAnsi"/>
          <w:sz w:val="24"/>
          <w:szCs w:val="24"/>
        </w:rPr>
        <w:t>leukemiában</w:t>
      </w:r>
      <w:proofErr w:type="spellEnd"/>
      <w:r w:rsidRPr="0042311E">
        <w:rPr>
          <w:rFonts w:asciiTheme="minorHAnsi" w:hAnsiTheme="minorHAnsi"/>
          <w:sz w:val="24"/>
          <w:szCs w:val="24"/>
        </w:rPr>
        <w:t xml:space="preserve"> szenvedő felnőtt betegek kezelésére, akiknél nyirokcsomói vizsgálattal vagy vérképpel igazolt reagálás mutatható 3 ciklus után, összesen 6 cikluson keresztül.</w:t>
      </w:r>
    </w:p>
    <w:p w:rsidR="00781F6B" w:rsidRPr="003C77BF" w:rsidRDefault="00781F6B" w:rsidP="00066792">
      <w:pPr>
        <w:jc w:val="both"/>
        <w:rPr>
          <w:rFonts w:asciiTheme="minorHAnsi" w:hAnsiTheme="minorHAnsi"/>
          <w:sz w:val="24"/>
          <w:szCs w:val="24"/>
        </w:rPr>
      </w:pPr>
    </w:p>
    <w:p w:rsidR="00781F6B" w:rsidRPr="00066792" w:rsidRDefault="00781F6B" w:rsidP="0042311E">
      <w:pPr>
        <w:spacing w:after="200" w:line="276" w:lineRule="auto"/>
      </w:pPr>
    </w:p>
    <w:p w:rsidR="00781F6B" w:rsidRPr="00066792" w:rsidRDefault="00781F6B" w:rsidP="00066792">
      <w:pPr>
        <w:jc w:val="both"/>
        <w:rPr>
          <w:b/>
          <w:u w:val="single"/>
        </w:rPr>
      </w:pPr>
      <w:r w:rsidRPr="00066792">
        <w:rPr>
          <w:b/>
          <w:u w:val="single"/>
        </w:rPr>
        <w:t xml:space="preserve">Egyéb hematológiai </w:t>
      </w:r>
      <w:r w:rsidR="00237B24">
        <w:rPr>
          <w:b/>
          <w:u w:val="single"/>
        </w:rPr>
        <w:t>készítmények, melyek a befogadott indikáció teljes körében alkalmazható</w:t>
      </w:r>
      <w:r w:rsidR="0042311E">
        <w:rPr>
          <w:b/>
          <w:u w:val="single"/>
        </w:rPr>
        <w:t>a</w:t>
      </w:r>
      <w:r w:rsidR="00237B24">
        <w:rPr>
          <w:b/>
          <w:u w:val="single"/>
        </w:rPr>
        <w:t>k</w:t>
      </w:r>
      <w:r w:rsidRPr="00066792">
        <w:rPr>
          <w:b/>
          <w:u w:val="single"/>
        </w:rPr>
        <w:t>:</w:t>
      </w:r>
    </w:p>
    <w:p w:rsidR="00781F6B" w:rsidRPr="00066792" w:rsidRDefault="00781F6B" w:rsidP="00066792">
      <w:pPr>
        <w:jc w:val="both"/>
      </w:pPr>
    </w:p>
    <w:p w:rsidR="00781F6B" w:rsidRPr="00066792" w:rsidRDefault="00781F6B" w:rsidP="00066792">
      <w:pPr>
        <w:jc w:val="both"/>
      </w:pPr>
    </w:p>
    <w:p w:rsidR="001E55F6" w:rsidRPr="00066792" w:rsidRDefault="001E55F6" w:rsidP="00066792">
      <w:pPr>
        <w:jc w:val="both"/>
        <w:rPr>
          <w:u w:val="single"/>
        </w:rPr>
      </w:pPr>
      <w:r w:rsidRPr="00066792">
        <w:rPr>
          <w:u w:val="single"/>
        </w:rPr>
        <w:t xml:space="preserve">06059 </w:t>
      </w:r>
      <w:proofErr w:type="spellStart"/>
      <w:r w:rsidRPr="00066792">
        <w:rPr>
          <w:u w:val="single"/>
        </w:rPr>
        <w:t>ibritumomab</w:t>
      </w:r>
      <w:proofErr w:type="spellEnd"/>
      <w:r w:rsidRPr="00066792">
        <w:rPr>
          <w:u w:val="single"/>
        </w:rPr>
        <w:t xml:space="preserve"> </w:t>
      </w:r>
      <w:proofErr w:type="spellStart"/>
      <w:r w:rsidRPr="00066792">
        <w:rPr>
          <w:u w:val="single"/>
        </w:rPr>
        <w:t>tiuxetan</w:t>
      </w:r>
      <w:proofErr w:type="spellEnd"/>
    </w:p>
    <w:p w:rsidR="007D61F7" w:rsidRPr="00066792" w:rsidRDefault="00781F6B" w:rsidP="00066792">
      <w:pPr>
        <w:jc w:val="both"/>
      </w:pPr>
      <w:r w:rsidRPr="00066792">
        <w:t>NM rendelet 1/</w:t>
      </w:r>
      <w:proofErr w:type="gramStart"/>
      <w:r w:rsidRPr="00066792">
        <w:t>A</w:t>
      </w:r>
      <w:proofErr w:type="gramEnd"/>
      <w:r w:rsidRPr="00066792">
        <w:t xml:space="preserve"> sz. melléklet </w:t>
      </w:r>
      <w:r w:rsidR="007D61F7" w:rsidRPr="00066792">
        <w:t>7/b4.</w:t>
      </w:r>
    </w:p>
    <w:p w:rsidR="007D61F7" w:rsidRPr="00066792" w:rsidRDefault="007D61F7" w:rsidP="00066792">
      <w:pPr>
        <w:jc w:val="both"/>
      </w:pPr>
      <w:r w:rsidRPr="00066792">
        <w:t>TÁMOGATOTT INDIKÁCIÓK:</w:t>
      </w:r>
    </w:p>
    <w:p w:rsidR="007D61F7" w:rsidRPr="00066792" w:rsidRDefault="007D61F7" w:rsidP="00066792">
      <w:pPr>
        <w:jc w:val="both"/>
      </w:pPr>
      <w:proofErr w:type="spellStart"/>
      <w:r w:rsidRPr="00066792">
        <w:t>Rituximabbal</w:t>
      </w:r>
      <w:proofErr w:type="spellEnd"/>
      <w:r w:rsidRPr="00066792">
        <w:t xml:space="preserve"> kezelt visszaeső vagy </w:t>
      </w:r>
      <w:proofErr w:type="spellStart"/>
      <w:r w:rsidRPr="00066792">
        <w:t>terápiarezisztens</w:t>
      </w:r>
      <w:proofErr w:type="spellEnd"/>
      <w:r w:rsidRPr="00066792">
        <w:t xml:space="preserve"> CD20+ </w:t>
      </w:r>
      <w:proofErr w:type="spellStart"/>
      <w:r w:rsidRPr="00066792">
        <w:t>folliculáris</w:t>
      </w:r>
      <w:proofErr w:type="spellEnd"/>
      <w:r w:rsidRPr="00066792">
        <w:t xml:space="preserve"> </w:t>
      </w:r>
      <w:proofErr w:type="spellStart"/>
      <w:r w:rsidRPr="00066792">
        <w:t>B-sejtes</w:t>
      </w:r>
      <w:proofErr w:type="spellEnd"/>
      <w:r w:rsidRPr="00066792">
        <w:t xml:space="preserve"> </w:t>
      </w:r>
      <w:proofErr w:type="spellStart"/>
      <w:r w:rsidRPr="00066792">
        <w:t>non-Hodgkin</w:t>
      </w:r>
      <w:proofErr w:type="spellEnd"/>
      <w:r w:rsidRPr="00066792">
        <w:t xml:space="preserve"> </w:t>
      </w:r>
      <w:proofErr w:type="spellStart"/>
      <w:r w:rsidRPr="00066792">
        <w:t>lymphoma</w:t>
      </w:r>
      <w:proofErr w:type="spellEnd"/>
      <w:r w:rsidRPr="00066792">
        <w:t xml:space="preserve"> kezelésére.</w:t>
      </w:r>
    </w:p>
    <w:p w:rsidR="007D61F7" w:rsidRPr="00066792" w:rsidRDefault="007D61F7" w:rsidP="00066792">
      <w:pPr>
        <w:jc w:val="both"/>
      </w:pPr>
    </w:p>
    <w:p w:rsidR="001E55F6" w:rsidRPr="00066792" w:rsidRDefault="001E55F6" w:rsidP="00066792">
      <w:pPr>
        <w:jc w:val="both"/>
        <w:rPr>
          <w:u w:val="single"/>
        </w:rPr>
      </w:pPr>
      <w:r w:rsidRPr="00066792">
        <w:rPr>
          <w:u w:val="single"/>
        </w:rPr>
        <w:t xml:space="preserve">06038 </w:t>
      </w:r>
      <w:proofErr w:type="spellStart"/>
      <w:r w:rsidRPr="00066792">
        <w:rPr>
          <w:u w:val="single"/>
        </w:rPr>
        <w:t>nelarabin</w:t>
      </w:r>
      <w:proofErr w:type="spellEnd"/>
      <w:r w:rsidRPr="00066792">
        <w:rPr>
          <w:u w:val="single"/>
        </w:rPr>
        <w:t xml:space="preserve"> </w:t>
      </w:r>
    </w:p>
    <w:p w:rsidR="007D61F7" w:rsidRPr="00066792" w:rsidRDefault="00781F6B" w:rsidP="00066792">
      <w:pPr>
        <w:jc w:val="both"/>
      </w:pPr>
      <w:r w:rsidRPr="00066792">
        <w:t>NM rendelet 1/</w:t>
      </w:r>
      <w:proofErr w:type="gramStart"/>
      <w:r w:rsidRPr="00066792">
        <w:t>A</w:t>
      </w:r>
      <w:proofErr w:type="gramEnd"/>
      <w:r w:rsidRPr="00066792">
        <w:t xml:space="preserve"> sz. melléklet </w:t>
      </w:r>
      <w:r w:rsidR="007D61F7" w:rsidRPr="00066792">
        <w:t>7/b5.</w:t>
      </w:r>
    </w:p>
    <w:p w:rsidR="007D61F7" w:rsidRPr="00066792" w:rsidRDefault="007D61F7" w:rsidP="00066792">
      <w:pPr>
        <w:jc w:val="both"/>
      </w:pPr>
      <w:r w:rsidRPr="00066792">
        <w:t>TÁMOGATOTT INDIKÁCIÓK:</w:t>
      </w:r>
    </w:p>
    <w:p w:rsidR="007D61F7" w:rsidRPr="00066792" w:rsidRDefault="007D61F7" w:rsidP="00066792">
      <w:pPr>
        <w:jc w:val="both"/>
      </w:pPr>
      <w:r w:rsidRPr="00066792">
        <w:t xml:space="preserve">T-sejtes akut </w:t>
      </w:r>
      <w:proofErr w:type="spellStart"/>
      <w:r w:rsidRPr="00066792">
        <w:t>lymphoblastos</w:t>
      </w:r>
      <w:proofErr w:type="spellEnd"/>
      <w:r w:rsidRPr="00066792">
        <w:t xml:space="preserve"> </w:t>
      </w:r>
      <w:proofErr w:type="spellStart"/>
      <w:r w:rsidRPr="00066792">
        <w:t>leukaemia</w:t>
      </w:r>
      <w:proofErr w:type="spellEnd"/>
      <w:r w:rsidRPr="00066792">
        <w:t xml:space="preserve"> (T-ALL) és T-sejtes </w:t>
      </w:r>
      <w:proofErr w:type="spellStart"/>
      <w:r w:rsidRPr="00066792">
        <w:t>lymphoblastos</w:t>
      </w:r>
      <w:proofErr w:type="spellEnd"/>
      <w:r w:rsidRPr="00066792">
        <w:t xml:space="preserve"> </w:t>
      </w:r>
      <w:proofErr w:type="spellStart"/>
      <w:r w:rsidRPr="00066792">
        <w:t>lymphoma</w:t>
      </w:r>
      <w:proofErr w:type="spellEnd"/>
      <w:r w:rsidRPr="00066792">
        <w:t xml:space="preserve"> (T-LBL) kezelésére, amikor a beteg legalább két, előzőleg alkalmazott kemoterápiás kezeléssorozatra sem reagált, vagy a kezelések után </w:t>
      </w:r>
      <w:proofErr w:type="spellStart"/>
      <w:r w:rsidRPr="00066792">
        <w:t>relapszus</w:t>
      </w:r>
      <w:proofErr w:type="spellEnd"/>
      <w:r w:rsidRPr="00066792">
        <w:t xml:space="preserve"> következett be.</w:t>
      </w:r>
    </w:p>
    <w:p w:rsidR="001E55F6" w:rsidRPr="00066792" w:rsidRDefault="001E55F6" w:rsidP="00066792">
      <w:pPr>
        <w:jc w:val="both"/>
      </w:pPr>
    </w:p>
    <w:p w:rsidR="001E55F6" w:rsidRPr="00066792" w:rsidRDefault="001E55F6" w:rsidP="00066792">
      <w:pPr>
        <w:jc w:val="both"/>
        <w:rPr>
          <w:u w:val="single"/>
        </w:rPr>
      </w:pPr>
      <w:r w:rsidRPr="00066792">
        <w:rPr>
          <w:u w:val="single"/>
        </w:rPr>
        <w:t xml:space="preserve">06047 </w:t>
      </w:r>
      <w:proofErr w:type="spellStart"/>
      <w:r w:rsidRPr="00066792">
        <w:rPr>
          <w:u w:val="single"/>
        </w:rPr>
        <w:t>klofarabine</w:t>
      </w:r>
      <w:proofErr w:type="spellEnd"/>
    </w:p>
    <w:p w:rsidR="007D61F7" w:rsidRPr="00066792" w:rsidRDefault="00781F6B" w:rsidP="00066792">
      <w:pPr>
        <w:jc w:val="both"/>
      </w:pPr>
      <w:r w:rsidRPr="00066792">
        <w:t>NM rendelet 1/</w:t>
      </w:r>
      <w:proofErr w:type="gramStart"/>
      <w:r w:rsidRPr="00066792">
        <w:t>A</w:t>
      </w:r>
      <w:proofErr w:type="gramEnd"/>
      <w:r w:rsidRPr="00066792">
        <w:t xml:space="preserve"> sz. melléklet </w:t>
      </w:r>
      <w:r w:rsidR="007D61F7" w:rsidRPr="00066792">
        <w:t>7/b6.</w:t>
      </w:r>
    </w:p>
    <w:p w:rsidR="007D61F7" w:rsidRPr="00066792" w:rsidRDefault="007D61F7" w:rsidP="00066792">
      <w:pPr>
        <w:jc w:val="both"/>
      </w:pPr>
      <w:r w:rsidRPr="00066792">
        <w:t>TÁMOGATOTT INDIKÁCIÓK:</w:t>
      </w:r>
    </w:p>
    <w:p w:rsidR="007D61F7" w:rsidRPr="00066792" w:rsidRDefault="007D61F7" w:rsidP="00066792">
      <w:pPr>
        <w:jc w:val="both"/>
      </w:pPr>
      <w:r w:rsidRPr="00066792">
        <w:t xml:space="preserve">Akut </w:t>
      </w:r>
      <w:proofErr w:type="spellStart"/>
      <w:r w:rsidRPr="00066792">
        <w:t>lymphoblastos</w:t>
      </w:r>
      <w:proofErr w:type="spellEnd"/>
      <w:r w:rsidRPr="00066792">
        <w:t xml:space="preserve"> </w:t>
      </w:r>
      <w:proofErr w:type="spellStart"/>
      <w:r w:rsidRPr="00066792">
        <w:t>leukaemiában</w:t>
      </w:r>
      <w:proofErr w:type="spellEnd"/>
      <w:r w:rsidRPr="00066792">
        <w:t xml:space="preserve"> (ALL) szenvedő, legalább </w:t>
      </w:r>
      <w:proofErr w:type="gramStart"/>
      <w:r w:rsidRPr="00066792">
        <w:t>kettő terápiás</w:t>
      </w:r>
      <w:proofErr w:type="gramEnd"/>
      <w:r w:rsidRPr="00066792">
        <w:t xml:space="preserve"> protokollal történt kezelés után </w:t>
      </w:r>
      <w:proofErr w:type="spellStart"/>
      <w:r w:rsidRPr="00066792">
        <w:t>relapszusba</w:t>
      </w:r>
      <w:proofErr w:type="spellEnd"/>
      <w:r w:rsidRPr="00066792">
        <w:t xml:space="preserve"> vagy </w:t>
      </w:r>
      <w:proofErr w:type="spellStart"/>
      <w:r w:rsidRPr="00066792">
        <w:t>refrakter</w:t>
      </w:r>
      <w:proofErr w:type="spellEnd"/>
      <w:r w:rsidRPr="00066792">
        <w:t xml:space="preserve"> stádiumba került gyermekek, és azon fiatal felnőtt betegek kezelésére, akiknél az első diagnózis 21 éves kor alatt megtörtént, ha semmilyen más terápiás lehetőség nincs, amely tartós választ eredményezhetne.</w:t>
      </w:r>
    </w:p>
    <w:p w:rsidR="007D61F7" w:rsidRPr="00066792" w:rsidRDefault="007D61F7" w:rsidP="00066792">
      <w:pPr>
        <w:jc w:val="both"/>
      </w:pPr>
    </w:p>
    <w:p w:rsidR="001E55F6" w:rsidRPr="00066792" w:rsidRDefault="001E55F6" w:rsidP="00066792">
      <w:pPr>
        <w:jc w:val="both"/>
        <w:rPr>
          <w:u w:val="single"/>
        </w:rPr>
      </w:pPr>
      <w:r w:rsidRPr="00066792">
        <w:rPr>
          <w:u w:val="single"/>
        </w:rPr>
        <w:t xml:space="preserve">06073 </w:t>
      </w:r>
      <w:proofErr w:type="spellStart"/>
      <w:r w:rsidRPr="00066792">
        <w:rPr>
          <w:u w:val="single"/>
        </w:rPr>
        <w:t>Plerixafor</w:t>
      </w:r>
      <w:proofErr w:type="spellEnd"/>
    </w:p>
    <w:p w:rsidR="007D61F7" w:rsidRPr="00066792" w:rsidRDefault="00781F6B" w:rsidP="00066792">
      <w:pPr>
        <w:jc w:val="both"/>
      </w:pPr>
      <w:r w:rsidRPr="00066792">
        <w:t>NM rendelet 1/</w:t>
      </w:r>
      <w:proofErr w:type="gramStart"/>
      <w:r w:rsidRPr="00066792">
        <w:t>A</w:t>
      </w:r>
      <w:proofErr w:type="gramEnd"/>
      <w:r w:rsidRPr="00066792">
        <w:t xml:space="preserve"> sz. melléklet </w:t>
      </w:r>
      <w:r w:rsidR="007D61F7" w:rsidRPr="00066792">
        <w:t>7/b7.</w:t>
      </w:r>
    </w:p>
    <w:p w:rsidR="007D61F7" w:rsidRPr="00066792" w:rsidRDefault="007D61F7" w:rsidP="00066792">
      <w:pPr>
        <w:jc w:val="both"/>
      </w:pPr>
      <w:r w:rsidRPr="00066792">
        <w:t>TÁMOGATOTT INDIKÁCIÓK:</w:t>
      </w:r>
    </w:p>
    <w:p w:rsidR="007D61F7" w:rsidRPr="00066792" w:rsidRDefault="007D61F7" w:rsidP="00066792">
      <w:pPr>
        <w:jc w:val="both"/>
      </w:pPr>
      <w:proofErr w:type="spellStart"/>
      <w:proofErr w:type="gramStart"/>
      <w:r w:rsidRPr="00066792">
        <w:t>Lymphomás</w:t>
      </w:r>
      <w:proofErr w:type="spellEnd"/>
      <w:r w:rsidRPr="00066792">
        <w:t xml:space="preserve">, </w:t>
      </w:r>
      <w:proofErr w:type="spellStart"/>
      <w:r w:rsidRPr="00066792">
        <w:t>myeloma</w:t>
      </w:r>
      <w:proofErr w:type="spellEnd"/>
      <w:r w:rsidRPr="00066792">
        <w:t xml:space="preserve"> multiplexes felnőtt betegek részére a </w:t>
      </w:r>
      <w:proofErr w:type="spellStart"/>
      <w:r w:rsidRPr="00066792">
        <w:t>haemopoeticus</w:t>
      </w:r>
      <w:proofErr w:type="spellEnd"/>
      <w:r w:rsidRPr="00066792">
        <w:t xml:space="preserve"> őssejteknek a perifériás vérbe történő mobilizációjának elősegítésére a levétel és az azt követő </w:t>
      </w:r>
      <w:proofErr w:type="spellStart"/>
      <w:r w:rsidRPr="00066792">
        <w:t>autológ</w:t>
      </w:r>
      <w:proofErr w:type="spellEnd"/>
      <w:r w:rsidRPr="00066792">
        <w:t xml:space="preserve"> transzplantáció céljából abban az esetben, ha a betegek nehezen vagy rosszul mobilizálnak (kemoterápia+G-CSF mobilizálás esetén azoknál a betegeknél, akiknél 10 G/l fölé emelkedett </w:t>
      </w:r>
      <w:proofErr w:type="spellStart"/>
      <w:r w:rsidRPr="00066792">
        <w:t>fvs</w:t>
      </w:r>
      <w:proofErr w:type="spellEnd"/>
      <w:r w:rsidRPr="00066792">
        <w:t xml:space="preserve"> szám ellenére a perifériás CD34+ sejtszáma az 5-20/</w:t>
      </w:r>
      <w:proofErr w:type="spellStart"/>
      <w:r w:rsidRPr="00066792">
        <w:t>ul</w:t>
      </w:r>
      <w:proofErr w:type="spellEnd"/>
      <w:r w:rsidRPr="00066792">
        <w:t xml:space="preserve"> tartományban marad vagy G-CSF mobilizálás esetén azoknál a betegeknél, akiknél a mobilizálás 5. napján a perifériás vér CD34+ sejtszáma még mindig az 5-20/</w:t>
      </w:r>
      <w:proofErr w:type="spellStart"/>
      <w:r w:rsidRPr="00066792">
        <w:t>ul</w:t>
      </w:r>
      <w:proofErr w:type="spellEnd"/>
      <w:r w:rsidRPr="00066792">
        <w:t xml:space="preserve"> tartományban van) </w:t>
      </w:r>
      <w:proofErr w:type="spellStart"/>
      <w:r w:rsidRPr="00066792">
        <w:t>G-CSF-ral</w:t>
      </w:r>
      <w:proofErr w:type="spellEnd"/>
      <w:proofErr w:type="gramEnd"/>
      <w:r w:rsidRPr="00066792">
        <w:t xml:space="preserve"> </w:t>
      </w:r>
      <w:proofErr w:type="gramStart"/>
      <w:r w:rsidRPr="00066792">
        <w:t>együtt</w:t>
      </w:r>
      <w:proofErr w:type="gramEnd"/>
      <w:r w:rsidRPr="00066792">
        <w:t xml:space="preserve"> alkalmazva.</w:t>
      </w:r>
    </w:p>
    <w:p w:rsidR="007D61F7" w:rsidRPr="00066792" w:rsidRDefault="007D61F7" w:rsidP="00066792">
      <w:pPr>
        <w:jc w:val="both"/>
      </w:pPr>
    </w:p>
    <w:p w:rsidR="001E55F6" w:rsidRPr="00066792" w:rsidRDefault="001E55F6" w:rsidP="00066792">
      <w:pPr>
        <w:jc w:val="both"/>
        <w:rPr>
          <w:u w:val="single"/>
        </w:rPr>
      </w:pPr>
      <w:r w:rsidRPr="00066792">
        <w:rPr>
          <w:u w:val="single"/>
        </w:rPr>
        <w:t xml:space="preserve">06063 </w:t>
      </w:r>
      <w:proofErr w:type="spellStart"/>
      <w:r w:rsidRPr="00066792">
        <w:rPr>
          <w:u w:val="single"/>
        </w:rPr>
        <w:t>brentuximab</w:t>
      </w:r>
      <w:proofErr w:type="spellEnd"/>
      <w:r w:rsidRPr="00066792">
        <w:rPr>
          <w:u w:val="single"/>
        </w:rPr>
        <w:t xml:space="preserve"> </w:t>
      </w:r>
      <w:proofErr w:type="spellStart"/>
      <w:r w:rsidRPr="00066792">
        <w:rPr>
          <w:u w:val="single"/>
        </w:rPr>
        <w:t>vedotin</w:t>
      </w:r>
      <w:proofErr w:type="spellEnd"/>
    </w:p>
    <w:p w:rsidR="001E55F6" w:rsidRPr="00066792" w:rsidRDefault="00781F6B" w:rsidP="00066792">
      <w:pPr>
        <w:jc w:val="both"/>
      </w:pPr>
      <w:r w:rsidRPr="00066792">
        <w:t>NM rendelet 1/</w:t>
      </w:r>
      <w:proofErr w:type="gramStart"/>
      <w:r w:rsidRPr="00066792">
        <w:t>A</w:t>
      </w:r>
      <w:proofErr w:type="gramEnd"/>
      <w:r w:rsidRPr="00066792">
        <w:t xml:space="preserve"> sz. melléklet </w:t>
      </w:r>
      <w:r w:rsidR="001E55F6" w:rsidRPr="00066792">
        <w:t>7/b11. pont</w:t>
      </w:r>
    </w:p>
    <w:p w:rsidR="001E55F6" w:rsidRPr="00066792" w:rsidRDefault="001E55F6" w:rsidP="00066792">
      <w:pPr>
        <w:jc w:val="both"/>
      </w:pPr>
      <w:r w:rsidRPr="00066792">
        <w:t>TÁMOGATOTT INDIKÁCIÓK:</w:t>
      </w:r>
    </w:p>
    <w:p w:rsidR="001E55F6" w:rsidRPr="00066792" w:rsidRDefault="001E55F6" w:rsidP="00066792">
      <w:pPr>
        <w:jc w:val="both"/>
      </w:pPr>
      <w:r w:rsidRPr="00066792">
        <w:lastRenderedPageBreak/>
        <w:t xml:space="preserve">Kiújuló vagy terápia rezisztens CD30+ </w:t>
      </w:r>
      <w:proofErr w:type="spellStart"/>
      <w:r w:rsidRPr="00066792">
        <w:t>Hodgkin-lymphomában</w:t>
      </w:r>
      <w:proofErr w:type="spellEnd"/>
      <w:r w:rsidRPr="00066792">
        <w:t xml:space="preserve"> (HL) szenvedő, felnőtt betegek kezelésére javasolt</w:t>
      </w:r>
    </w:p>
    <w:p w:rsidR="001E55F6" w:rsidRPr="00066792" w:rsidRDefault="001E55F6" w:rsidP="00066792">
      <w:pPr>
        <w:jc w:val="both"/>
      </w:pPr>
      <w:r w:rsidRPr="00066792">
        <w:t xml:space="preserve">Kiújuló vagy terápia rezisztens, szisztémás, </w:t>
      </w:r>
      <w:proofErr w:type="spellStart"/>
      <w:r w:rsidRPr="00066792">
        <w:t>anaplasztikus</w:t>
      </w:r>
      <w:proofErr w:type="spellEnd"/>
      <w:r w:rsidRPr="00066792">
        <w:t xml:space="preserve">, nagysejtes </w:t>
      </w:r>
      <w:proofErr w:type="spellStart"/>
      <w:r w:rsidRPr="00066792">
        <w:t>lymphomában</w:t>
      </w:r>
      <w:proofErr w:type="spellEnd"/>
      <w:r w:rsidRPr="00066792">
        <w:t xml:space="preserve"> (</w:t>
      </w:r>
      <w:proofErr w:type="spellStart"/>
      <w:r w:rsidRPr="00066792">
        <w:t>sALCL</w:t>
      </w:r>
      <w:proofErr w:type="spellEnd"/>
      <w:r w:rsidRPr="00066792">
        <w:t xml:space="preserve"> - </w:t>
      </w:r>
      <w:proofErr w:type="spellStart"/>
      <w:r w:rsidRPr="00066792">
        <w:t>systemic</w:t>
      </w:r>
      <w:proofErr w:type="spellEnd"/>
      <w:r w:rsidRPr="00066792">
        <w:t xml:space="preserve"> </w:t>
      </w:r>
      <w:proofErr w:type="spellStart"/>
      <w:r w:rsidRPr="00066792">
        <w:t>anaplastic</w:t>
      </w:r>
      <w:proofErr w:type="spellEnd"/>
      <w:r w:rsidRPr="00066792">
        <w:t xml:space="preserve"> </w:t>
      </w:r>
      <w:proofErr w:type="spellStart"/>
      <w:r w:rsidRPr="00066792">
        <w:t>large</w:t>
      </w:r>
      <w:proofErr w:type="spellEnd"/>
      <w:r w:rsidRPr="00066792">
        <w:t xml:space="preserve"> </w:t>
      </w:r>
      <w:proofErr w:type="spellStart"/>
      <w:r w:rsidRPr="00066792">
        <w:t>cell</w:t>
      </w:r>
      <w:proofErr w:type="spellEnd"/>
      <w:r w:rsidRPr="00066792">
        <w:t xml:space="preserve"> </w:t>
      </w:r>
      <w:proofErr w:type="spellStart"/>
      <w:r w:rsidRPr="00066792">
        <w:t>lymphoma</w:t>
      </w:r>
      <w:proofErr w:type="spellEnd"/>
      <w:r w:rsidRPr="00066792">
        <w:t>) szenvedő, felnőtt betegek kezelésére javasolt.</w:t>
      </w:r>
    </w:p>
    <w:p w:rsidR="00781F6B" w:rsidRPr="00066792" w:rsidRDefault="00781F6B" w:rsidP="00066792">
      <w:pPr>
        <w:jc w:val="both"/>
      </w:pPr>
    </w:p>
    <w:p w:rsidR="00C91544" w:rsidRPr="00066792" w:rsidRDefault="00781F6B" w:rsidP="00066792">
      <w:pPr>
        <w:jc w:val="both"/>
      </w:pPr>
      <w:r w:rsidRPr="00066792">
        <w:t>NM rendelet 1/</w:t>
      </w:r>
      <w:proofErr w:type="gramStart"/>
      <w:r w:rsidRPr="00066792">
        <w:t>A</w:t>
      </w:r>
      <w:proofErr w:type="gramEnd"/>
      <w:r w:rsidRPr="00066792">
        <w:t xml:space="preserve"> sz. melléklet </w:t>
      </w:r>
      <w:r w:rsidR="00C91544" w:rsidRPr="00066792">
        <w:t>7/b10. pont * </w:t>
      </w:r>
    </w:p>
    <w:p w:rsidR="00C91544" w:rsidRPr="00066792" w:rsidRDefault="00C91544" w:rsidP="00066792">
      <w:pPr>
        <w:jc w:val="both"/>
      </w:pPr>
      <w:r w:rsidRPr="00066792">
        <w:t>TÁMOGATOTT INDIKÁCIÓK:</w:t>
      </w:r>
    </w:p>
    <w:p w:rsidR="00C91544" w:rsidRPr="00066792" w:rsidRDefault="00C91544" w:rsidP="00066792">
      <w:pPr>
        <w:jc w:val="both"/>
      </w:pPr>
      <w:proofErr w:type="spellStart"/>
      <w:r w:rsidRPr="00066792">
        <w:t>Relapszáló</w:t>
      </w:r>
      <w:proofErr w:type="spellEnd"/>
      <w:r w:rsidRPr="00066792">
        <w:t xml:space="preserve"> vagy </w:t>
      </w:r>
      <w:proofErr w:type="spellStart"/>
      <w:r w:rsidRPr="00066792">
        <w:t>refrakter</w:t>
      </w:r>
      <w:proofErr w:type="spellEnd"/>
      <w:r w:rsidRPr="00066792">
        <w:t xml:space="preserve"> köpenysejtes </w:t>
      </w:r>
      <w:proofErr w:type="spellStart"/>
      <w:r w:rsidRPr="00066792">
        <w:t>lymphoma</w:t>
      </w:r>
      <w:proofErr w:type="spellEnd"/>
      <w:r w:rsidRPr="00066792">
        <w:t xml:space="preserve"> kezelésére javallott felnőtt betegeknél.</w:t>
      </w:r>
    </w:p>
    <w:p w:rsidR="00C91544" w:rsidRPr="00066792" w:rsidRDefault="00C91544" w:rsidP="00066792">
      <w:pPr>
        <w:jc w:val="both"/>
      </w:pPr>
    </w:p>
    <w:p w:rsidR="00C91544" w:rsidRPr="00066792" w:rsidRDefault="00C91544" w:rsidP="00781F6B">
      <w:pPr>
        <w:jc w:val="both"/>
      </w:pPr>
    </w:p>
    <w:p w:rsidR="00C91544" w:rsidRPr="00066792" w:rsidRDefault="00C91544">
      <w:pPr>
        <w:jc w:val="both"/>
      </w:pPr>
      <w:r w:rsidRPr="00066792">
        <w:t xml:space="preserve">Egyúttal tájékoztatom, hogy a korábban pénzügyi keretben biztosított </w:t>
      </w:r>
      <w:r w:rsidR="0042311E">
        <w:t>(</w:t>
      </w:r>
      <w:proofErr w:type="spellStart"/>
      <w:r w:rsidR="0042311E">
        <w:t>Gazyvaro</w:t>
      </w:r>
      <w:proofErr w:type="spellEnd"/>
      <w:r w:rsidR="0042311E">
        <w:t xml:space="preserve">, </w:t>
      </w:r>
      <w:proofErr w:type="spellStart"/>
      <w:r w:rsidR="0042311E">
        <w:t>Imbruvica</w:t>
      </w:r>
      <w:proofErr w:type="spellEnd"/>
      <w:r w:rsidR="0042311E">
        <w:t xml:space="preserve">, </w:t>
      </w:r>
      <w:proofErr w:type="spellStart"/>
      <w:r w:rsidR="0042311E">
        <w:t>Darzalex</w:t>
      </w:r>
      <w:proofErr w:type="spellEnd"/>
      <w:r w:rsidR="0042311E">
        <w:t xml:space="preserve">, </w:t>
      </w:r>
      <w:proofErr w:type="spellStart"/>
      <w:r w:rsidR="0042311E">
        <w:t>Ninlaro</w:t>
      </w:r>
      <w:proofErr w:type="spellEnd"/>
      <w:r w:rsidR="0042311E">
        <w:t xml:space="preserve">, </w:t>
      </w:r>
      <w:proofErr w:type="spellStart"/>
      <w:r w:rsidR="0042311E">
        <w:t>Adcetris</w:t>
      </w:r>
      <w:proofErr w:type="spellEnd"/>
      <w:r w:rsidR="0042311E">
        <w:t xml:space="preserve">) </w:t>
      </w:r>
      <w:r w:rsidRPr="00066792">
        <w:t xml:space="preserve">készítmények záró hatálya a jelenlegi keret kezdődátumát megelőző nappal lezárásra kerül, továbbiakban pénzügyi keret terhére nincs lehetőség megrendelést leadni. </w:t>
      </w:r>
    </w:p>
    <w:p w:rsidR="00C91544" w:rsidRPr="00066792" w:rsidRDefault="00C91544">
      <w:pPr>
        <w:jc w:val="both"/>
      </w:pPr>
      <w:r w:rsidRPr="00066792">
        <w:t xml:space="preserve">A felhasználhatóság vonatkozásában a korábban küldött tájékoztatásunk szerint 2021.02.28-ig van lehetőség. </w:t>
      </w:r>
    </w:p>
    <w:p w:rsidR="00C91544" w:rsidRDefault="00C91544" w:rsidP="00066792">
      <w:pPr>
        <w:jc w:val="both"/>
      </w:pPr>
    </w:p>
    <w:p w:rsidR="009F45CF" w:rsidRPr="00066792" w:rsidRDefault="009F45CF" w:rsidP="00066792">
      <w:pPr>
        <w:jc w:val="both"/>
      </w:pPr>
      <w:r>
        <w:t>Budapest, 2021 február</w:t>
      </w:r>
      <w:bookmarkStart w:id="0" w:name="_GoBack"/>
      <w:bookmarkEnd w:id="0"/>
    </w:p>
    <w:sectPr w:rsidR="009F45CF" w:rsidRPr="00066792" w:rsidSect="00CF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581"/>
    <w:multiLevelType w:val="hybridMultilevel"/>
    <w:tmpl w:val="0EAAD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77DAC"/>
    <w:multiLevelType w:val="hybridMultilevel"/>
    <w:tmpl w:val="1B641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46DB5"/>
    <w:multiLevelType w:val="hybridMultilevel"/>
    <w:tmpl w:val="F9C233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13DF9"/>
    <w:multiLevelType w:val="hybridMultilevel"/>
    <w:tmpl w:val="834A5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54"/>
    <w:rsid w:val="00066792"/>
    <w:rsid w:val="00084A91"/>
    <w:rsid w:val="001E55F6"/>
    <w:rsid w:val="00237B24"/>
    <w:rsid w:val="00325964"/>
    <w:rsid w:val="003C77BF"/>
    <w:rsid w:val="00406728"/>
    <w:rsid w:val="0042311E"/>
    <w:rsid w:val="004329E3"/>
    <w:rsid w:val="00546992"/>
    <w:rsid w:val="00627254"/>
    <w:rsid w:val="00631D9E"/>
    <w:rsid w:val="006430C2"/>
    <w:rsid w:val="00767A1B"/>
    <w:rsid w:val="00781F6B"/>
    <w:rsid w:val="007D61F7"/>
    <w:rsid w:val="009305DE"/>
    <w:rsid w:val="009F45CF"/>
    <w:rsid w:val="00A73A08"/>
    <w:rsid w:val="00AD3B7A"/>
    <w:rsid w:val="00BD1FBB"/>
    <w:rsid w:val="00BE289B"/>
    <w:rsid w:val="00C30AFF"/>
    <w:rsid w:val="00C91544"/>
    <w:rsid w:val="00CD6448"/>
    <w:rsid w:val="00CF3927"/>
    <w:rsid w:val="00ED5556"/>
    <w:rsid w:val="00F8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25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725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72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25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37B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7B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7B24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7B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7B24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25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725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72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25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37B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7B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7B24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7B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7B2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karsaya</dc:creator>
  <cp:lastModifiedBy>PrigyeniE</cp:lastModifiedBy>
  <cp:revision>5</cp:revision>
  <dcterms:created xsi:type="dcterms:W3CDTF">2021-02-04T12:13:00Z</dcterms:created>
  <dcterms:modified xsi:type="dcterms:W3CDTF">2021-02-04T12:17:00Z</dcterms:modified>
</cp:coreProperties>
</file>